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20"/>
          <w:szCs w:val="20"/>
        </w:rPr>
      </w:pPr>
    </w:p>
    <w:p>
      <w:pPr>
        <w:rPr>
          <w:rFonts w:cs="宋体" w:asciiTheme="minorEastAsia" w:hAnsiTheme="minorEastAsia" w:eastAsiaTheme="minorEastAsia"/>
          <w:sz w:val="32"/>
          <w:szCs w:val="20"/>
        </w:rPr>
      </w:pPr>
      <w:r>
        <w:rPr>
          <w:rFonts w:ascii="华文中宋" w:hAnsi="华文中宋" w:eastAsia="华文中宋" w:cs="宋体"/>
          <w:sz w:val="20"/>
          <w:szCs w:val="20"/>
        </w:rPr>
        <w:t xml:space="preserve">                                               </w:t>
      </w:r>
      <w:r>
        <w:rPr>
          <w:rFonts w:hint="eastAsia" w:cs="宋体" w:asciiTheme="minorEastAsia" w:hAnsiTheme="minorEastAsia" w:eastAsiaTheme="minorEastAsia"/>
          <w:sz w:val="32"/>
          <w:szCs w:val="20"/>
        </w:rPr>
        <w:t>项目编号：ZT[2020]023号</w:t>
      </w:r>
    </w:p>
    <w:p>
      <w:pPr>
        <w:rPr>
          <w:rFonts w:cs="宋体" w:asciiTheme="minorEastAsia" w:hAnsiTheme="minorEastAsia" w:eastAsiaTheme="minorEastAsia"/>
          <w:color w:val="FF0000"/>
          <w:sz w:val="32"/>
          <w:szCs w:val="20"/>
        </w:rPr>
      </w:pPr>
    </w:p>
    <w:p>
      <w:pPr>
        <w:rPr>
          <w:rFonts w:asciiTheme="minorEastAsia" w:hAnsiTheme="minorEastAsia" w:eastAsiaTheme="minorEastAsia"/>
          <w:b/>
          <w:color w:val="FF0000"/>
          <w:sz w:val="36"/>
          <w:szCs w:val="36"/>
        </w:rPr>
      </w:pPr>
    </w:p>
    <w:p>
      <w:pPr>
        <w:widowControl/>
        <w:shd w:val="clear" w:color="auto" w:fill="FFFFFF"/>
        <w:spacing w:line="720" w:lineRule="atLeast"/>
        <w:jc w:val="center"/>
        <w:rPr>
          <w:rFonts w:asciiTheme="minorEastAsia" w:hAnsiTheme="minorEastAsia" w:eastAsiaTheme="minorEastAsia"/>
          <w:b/>
          <w:kern w:val="0"/>
          <w:sz w:val="52"/>
          <w:szCs w:val="52"/>
        </w:rPr>
      </w:pPr>
      <w:r>
        <w:rPr>
          <w:rFonts w:hint="eastAsia" w:asciiTheme="minorEastAsia" w:hAnsiTheme="minorEastAsia" w:eastAsiaTheme="minorEastAsia"/>
          <w:b/>
          <w:kern w:val="0"/>
          <w:sz w:val="52"/>
          <w:szCs w:val="52"/>
        </w:rPr>
        <w:t>广汉市人民医院第二批耗材采购</w:t>
      </w:r>
    </w:p>
    <w:p>
      <w:pPr>
        <w:rPr>
          <w:rFonts w:asciiTheme="minorEastAsia" w:hAnsiTheme="minorEastAsia" w:eastAsiaTheme="minorEastAsia"/>
          <w:b/>
          <w:sz w:val="36"/>
          <w:szCs w:val="52"/>
        </w:rPr>
      </w:pPr>
    </w:p>
    <w:p>
      <w:pPr>
        <w:tabs>
          <w:tab w:val="left" w:pos="2505"/>
          <w:tab w:val="center" w:pos="4204"/>
        </w:tabs>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招</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标</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文</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件</w:t>
      </w: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中国·四川（</w:t>
      </w:r>
      <w:r>
        <w:rPr>
          <w:rFonts w:hint="eastAsia" w:asciiTheme="minorEastAsia" w:hAnsiTheme="minorEastAsia" w:eastAsiaTheme="minorEastAsia"/>
          <w:b/>
          <w:sz w:val="30"/>
          <w:szCs w:val="30"/>
        </w:rPr>
        <w:t>德阳</w:t>
      </w:r>
      <w:r>
        <w:rPr>
          <w:rFonts w:hint="eastAsia" w:asciiTheme="minorEastAsia" w:hAnsiTheme="minorEastAsia" w:eastAsiaTheme="minorEastAsia"/>
          <w:b/>
          <w:sz w:val="32"/>
          <w:szCs w:val="32"/>
        </w:rPr>
        <w:t>）</w:t>
      </w:r>
    </w:p>
    <w:p>
      <w:pPr>
        <w:spacing w:line="360" w:lineRule="auto"/>
        <w:rPr>
          <w:b/>
          <w:sz w:val="36"/>
        </w:rPr>
      </w:pPr>
      <w:r>
        <w:rPr>
          <w:rFonts w:asciiTheme="minorEastAsia" w:hAnsiTheme="minorEastAsia" w:eastAsiaTheme="minorEastAsia"/>
          <w:b/>
          <w:sz w:val="30"/>
          <w:szCs w:val="30"/>
        </w:rPr>
        <w:t xml:space="preserve">     </w:t>
      </w:r>
      <w:r>
        <w:rPr>
          <w:rFonts w:asciiTheme="minorEastAsia" w:hAnsiTheme="minorEastAsia" w:eastAsiaTheme="minorEastAsia"/>
          <w:b/>
          <w:sz w:val="28"/>
          <w:szCs w:val="30"/>
        </w:rPr>
        <w:t xml:space="preserve"> </w:t>
      </w:r>
      <w:r>
        <w:rPr>
          <w:b/>
          <w:sz w:val="36"/>
        </w:rPr>
        <w:t>我单位已对该文件内容进行了认真审核，同意按此采购文件内容进行采购。采购单位代表签字：</w:t>
      </w:r>
    </w:p>
    <w:p>
      <w:pPr>
        <w:spacing w:line="360" w:lineRule="auto"/>
        <w:rPr>
          <w:rFonts w:asciiTheme="minorEastAsia" w:hAnsiTheme="minorEastAsia" w:eastAsiaTheme="minorEastAsia"/>
          <w:b/>
          <w:sz w:val="22"/>
          <w:szCs w:val="30"/>
        </w:rPr>
      </w:pPr>
    </w:p>
    <w:p>
      <w:pPr>
        <w:spacing w:line="276" w:lineRule="auto"/>
        <w:rPr>
          <w:rFonts w:asciiTheme="minorEastAsia" w:hAnsiTheme="minorEastAsia" w:eastAsiaTheme="minorEastAsia"/>
          <w:b/>
          <w:sz w:val="32"/>
          <w:szCs w:val="32"/>
        </w:rPr>
      </w:pPr>
      <w:r>
        <w:rPr>
          <w:rFonts w:asciiTheme="minorEastAsia" w:hAnsiTheme="minorEastAsia" w:eastAsiaTheme="minorEastAsia"/>
          <w:b/>
          <w:sz w:val="30"/>
          <w:szCs w:val="30"/>
        </w:rPr>
        <w:t xml:space="preserve">     </w:t>
      </w:r>
      <w:r>
        <w:rPr>
          <w:rFonts w:hint="eastAsia" w:asciiTheme="minorEastAsia" w:hAnsiTheme="minorEastAsia" w:eastAsiaTheme="minorEastAsia"/>
          <w:b/>
          <w:sz w:val="32"/>
          <w:szCs w:val="32"/>
        </w:rPr>
        <w:t>采购人：广汉市人民医院</w:t>
      </w:r>
    </w:p>
    <w:p>
      <w:pPr>
        <w:spacing w:line="276"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采购代理机构：四川正通建设项目管理有限公司</w:t>
      </w:r>
    </w:p>
    <w:p>
      <w:pPr>
        <w:spacing w:line="360" w:lineRule="auto"/>
        <w:jc w:val="center"/>
        <w:rPr>
          <w:rFonts w:asciiTheme="minorEastAsia" w:hAnsiTheme="minorEastAsia" w:eastAsiaTheme="minorEastAsia"/>
          <w:b/>
          <w:szCs w:val="32"/>
        </w:rPr>
      </w:pP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2"/>
          <w:szCs w:val="32"/>
        </w:rPr>
        <w:t>共同编制</w:t>
      </w:r>
    </w:p>
    <w:p>
      <w:pPr>
        <w:spacing w:line="360" w:lineRule="auto"/>
        <w:ind w:firstLine="3301" w:firstLineChars="1096"/>
        <w:rPr>
          <w:rFonts w:asciiTheme="minorEastAsia" w:hAnsiTheme="minorEastAsia" w:eastAsiaTheme="minorEastAsia"/>
          <w:b/>
          <w:bCs/>
          <w:sz w:val="32"/>
          <w:szCs w:val="32"/>
          <w:lang w:val="zh-CN"/>
        </w:rPr>
      </w:pP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20</w:t>
      </w:r>
      <w:r>
        <w:rPr>
          <w:rFonts w:hint="eastAsia" w:asciiTheme="minorEastAsia" w:hAnsiTheme="minorEastAsia" w:eastAsiaTheme="minorEastAsia"/>
          <w:b/>
          <w:bCs/>
          <w:sz w:val="32"/>
          <w:szCs w:val="32"/>
          <w:lang w:val="zh-CN"/>
        </w:rPr>
        <w:t>年</w:t>
      </w:r>
      <w:r>
        <w:rPr>
          <w:rFonts w:hint="eastAsia" w:asciiTheme="minorEastAsia" w:hAnsiTheme="minorEastAsia" w:eastAsiaTheme="minorEastAsia"/>
          <w:b/>
          <w:sz w:val="30"/>
          <w:szCs w:val="30"/>
        </w:rPr>
        <w:t>12</w:t>
      </w:r>
      <w:r>
        <w:rPr>
          <w:rFonts w:hint="eastAsia" w:asciiTheme="minorEastAsia" w:hAnsiTheme="minorEastAsia" w:eastAsiaTheme="minorEastAsia"/>
          <w:b/>
          <w:bCs/>
          <w:sz w:val="32"/>
          <w:szCs w:val="32"/>
          <w:lang w:val="zh-CN"/>
        </w:rPr>
        <w:t>月</w:t>
      </w:r>
    </w:p>
    <w:p>
      <w:pPr>
        <w:spacing w:line="400" w:lineRule="exact"/>
        <w:rPr>
          <w:rFonts w:asciiTheme="minorEastAsia" w:hAnsiTheme="minorEastAsia" w:eastAsiaTheme="minorEastAsia"/>
          <w:sz w:val="32"/>
        </w:rPr>
        <w:sectPr>
          <w:headerReference r:id="rId3" w:type="default"/>
          <w:footerReference r:id="rId5" w:type="default"/>
          <w:headerReference r:id="rId4" w:type="even"/>
          <w:footerReference r:id="rId6" w:type="even"/>
          <w:pgSz w:w="11907" w:h="16840"/>
          <w:pgMar w:top="1418" w:right="1514" w:bottom="1418" w:left="1985" w:header="851" w:footer="992" w:gutter="0"/>
          <w:pgNumType w:start="1"/>
          <w:cols w:space="720" w:num="1"/>
          <w:docGrid w:linePitch="312" w:charSpace="0"/>
        </w:sectPr>
      </w:pPr>
    </w:p>
    <w:p>
      <w:pPr>
        <w:jc w:val="center"/>
        <w:rPr>
          <w:rFonts w:cs="黑体" w:asciiTheme="minorEastAsia" w:hAnsiTheme="minorEastAsia" w:eastAsiaTheme="minorEastAsia"/>
          <w:b/>
          <w:bCs/>
          <w:sz w:val="36"/>
          <w:szCs w:val="36"/>
        </w:rPr>
      </w:pPr>
      <w:bookmarkStart w:id="0" w:name="_Toc31604"/>
      <w:r>
        <w:rPr>
          <w:rFonts w:hint="eastAsia" w:cs="黑体" w:asciiTheme="minorEastAsia" w:hAnsiTheme="minorEastAsia" w:eastAsiaTheme="minorEastAsia"/>
          <w:b/>
          <w:bCs/>
          <w:sz w:val="36"/>
          <w:szCs w:val="36"/>
        </w:rPr>
        <w:t>目</w:t>
      </w:r>
      <w:r>
        <w:rPr>
          <w:rFonts w:cs="黑体" w:asciiTheme="minorEastAsia" w:hAnsiTheme="minorEastAsia" w:eastAsiaTheme="minorEastAsia"/>
          <w:b/>
          <w:bCs/>
          <w:sz w:val="36"/>
          <w:szCs w:val="36"/>
        </w:rPr>
        <w:t xml:space="preserve">    </w:t>
      </w:r>
      <w:r>
        <w:rPr>
          <w:rFonts w:hint="eastAsia" w:cs="黑体" w:asciiTheme="minorEastAsia" w:hAnsiTheme="minorEastAsia" w:eastAsiaTheme="minorEastAsia"/>
          <w:b/>
          <w:bCs/>
          <w:sz w:val="36"/>
          <w:szCs w:val="36"/>
        </w:rPr>
        <w:t>录</w:t>
      </w:r>
      <w:bookmarkEnd w:id="0"/>
    </w:p>
    <w:p>
      <w:pPr>
        <w:pStyle w:val="17"/>
        <w:tabs>
          <w:tab w:val="right" w:leader="dot" w:pos="8949"/>
        </w:tabs>
        <w:rPr>
          <w:rFonts w:asciiTheme="minorEastAsia" w:hAnsiTheme="minorEastAsia" w:eastAsiaTheme="minorEastAsia" w:cstheme="minorBidi"/>
          <w:sz w:val="28"/>
          <w:szCs w:val="28"/>
        </w:rPr>
      </w:pPr>
      <w:r>
        <w:rPr>
          <w:rFonts w:cs="黑体" w:asciiTheme="minorEastAsia" w:hAnsiTheme="minorEastAsia" w:eastAsiaTheme="minorEastAsia"/>
          <w:b/>
          <w:bCs/>
          <w:sz w:val="28"/>
          <w:szCs w:val="28"/>
        </w:rPr>
        <w:fldChar w:fldCharType="begin"/>
      </w:r>
      <w:r>
        <w:rPr>
          <w:rFonts w:cs="黑体" w:asciiTheme="minorEastAsia" w:hAnsiTheme="minorEastAsia" w:eastAsiaTheme="minorEastAsia"/>
          <w:b/>
          <w:bCs/>
          <w:sz w:val="28"/>
          <w:szCs w:val="28"/>
        </w:rPr>
        <w:instrText xml:space="preserve">TOC \o "1-3" \h \u </w:instrText>
      </w:r>
      <w:r>
        <w:rPr>
          <w:rFonts w:cs="黑体" w:asciiTheme="minorEastAsia" w:hAnsiTheme="minorEastAsia" w:eastAsiaTheme="minorEastAsia"/>
          <w:b/>
          <w:bCs/>
          <w:sz w:val="28"/>
          <w:szCs w:val="28"/>
        </w:rPr>
        <w:fldChar w:fldCharType="separate"/>
      </w:r>
      <w:r>
        <w:fldChar w:fldCharType="begin"/>
      </w:r>
      <w:r>
        <w:instrText xml:space="preserve"> HYPERLINK \l "_Toc2602456" </w:instrText>
      </w:r>
      <w:r>
        <w:fldChar w:fldCharType="separate"/>
      </w:r>
      <w:r>
        <w:rPr>
          <w:rStyle w:val="32"/>
          <w:rFonts w:hint="eastAsia" w:asciiTheme="minorEastAsia" w:hAnsiTheme="minorEastAsia" w:eastAsiaTheme="minorEastAsia"/>
          <w:sz w:val="28"/>
          <w:szCs w:val="28"/>
        </w:rPr>
        <w:t>第一章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投标邀请</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"_Toc2602457" </w:instrText>
      </w:r>
      <w:r>
        <w:fldChar w:fldCharType="separate"/>
      </w:r>
      <w:r>
        <w:rPr>
          <w:rStyle w:val="32"/>
          <w:rFonts w:hint="eastAsia" w:asciiTheme="minorEastAsia" w:hAnsiTheme="minorEastAsia" w:eastAsiaTheme="minorEastAsia"/>
          <w:sz w:val="28"/>
          <w:szCs w:val="28"/>
        </w:rPr>
        <w:t>第二章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"_Toc2602458" </w:instrText>
      </w:r>
      <w:r>
        <w:fldChar w:fldCharType="separate"/>
      </w:r>
      <w:r>
        <w:rPr>
          <w:rStyle w:val="32"/>
          <w:rFonts w:hint="eastAsia" w:asciiTheme="minorEastAsia" w:hAnsiTheme="minorEastAsia" w:eastAsiaTheme="minorEastAsia"/>
          <w:bCs/>
          <w:sz w:val="28"/>
          <w:szCs w:val="28"/>
        </w:rPr>
        <w:t>第三章</w:t>
      </w:r>
      <w:r>
        <w:rPr>
          <w:rStyle w:val="32"/>
          <w:rFonts w:asciiTheme="minorEastAsia" w:hAnsiTheme="minorEastAsia" w:eastAsiaTheme="minorEastAsia"/>
          <w:bCs/>
          <w:sz w:val="28"/>
          <w:szCs w:val="28"/>
        </w:rPr>
        <w:t xml:space="preserve"> </w:t>
      </w:r>
      <w:r>
        <w:rPr>
          <w:rStyle w:val="32"/>
          <w:rFonts w:hint="eastAsia" w:asciiTheme="minorEastAsia" w:hAnsiTheme="minorEastAsia" w:eastAsiaTheme="minorEastAsia"/>
          <w:bCs/>
          <w:sz w:val="28"/>
          <w:szCs w:val="28"/>
        </w:rPr>
        <w:t xml:space="preserve"> 投标文件格式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"_Toc2602459" </w:instrText>
      </w:r>
      <w:r>
        <w:fldChar w:fldCharType="separate"/>
      </w:r>
      <w:r>
        <w:rPr>
          <w:rStyle w:val="32"/>
          <w:rFonts w:hint="eastAsia" w:asciiTheme="minorEastAsia" w:hAnsiTheme="minorEastAsia" w:eastAsiaTheme="minorEastAsia"/>
          <w:sz w:val="28"/>
          <w:szCs w:val="28"/>
        </w:rPr>
        <w:t>第四章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投标人和投标产品的资格、资质性及其他类似效力要求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1050" w:leftChars="0" w:hanging="1050" w:hangingChars="500"/>
        <w:rPr>
          <w:rFonts w:asciiTheme="minorEastAsia" w:hAnsiTheme="minorEastAsia" w:eastAsiaTheme="minorEastAsia" w:cstheme="minorBidi"/>
          <w:sz w:val="28"/>
          <w:szCs w:val="28"/>
        </w:rPr>
      </w:pPr>
      <w:r>
        <w:fldChar w:fldCharType="begin"/>
      </w:r>
      <w:r>
        <w:instrText xml:space="preserve"> HYPERLINK \l "_Toc2602460" </w:instrText>
      </w:r>
      <w:r>
        <w:fldChar w:fldCharType="separate"/>
      </w:r>
      <w:r>
        <w:rPr>
          <w:rStyle w:val="32"/>
          <w:rFonts w:hint="eastAsia" w:asciiTheme="minorEastAsia" w:hAnsiTheme="minorEastAsia" w:eastAsiaTheme="minorEastAsia"/>
          <w:sz w:val="28"/>
          <w:szCs w:val="28"/>
        </w:rPr>
        <w:t>第五章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投标人应当提供的资格、资质性及其他类似效力要求的相关证明材料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"_Toc2602461" </w:instrText>
      </w:r>
      <w:r>
        <w:fldChar w:fldCharType="separate"/>
      </w:r>
      <w:r>
        <w:rPr>
          <w:rStyle w:val="32"/>
          <w:rFonts w:hint="eastAsia" w:asciiTheme="minorEastAsia" w:hAnsiTheme="minorEastAsia" w:eastAsiaTheme="minorEastAsia"/>
          <w:sz w:val="28"/>
          <w:szCs w:val="28"/>
        </w:rPr>
        <w:t>第六章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 xml:space="preserve"> 招标项目技术、服务、采购合同内容条款及其他商务要求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"_Toc2602462" </w:instrText>
      </w:r>
      <w:r>
        <w:fldChar w:fldCharType="separate"/>
      </w:r>
      <w:r>
        <w:rPr>
          <w:rStyle w:val="32"/>
          <w:rFonts w:hint="eastAsia" w:asciiTheme="minorEastAsia" w:hAnsiTheme="minorEastAsia" w:eastAsiaTheme="minorEastAsia"/>
          <w:sz w:val="28"/>
          <w:szCs w:val="28"/>
        </w:rPr>
        <w:t>第七章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评标办法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68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"_Toc2602463" </w:instrText>
      </w:r>
      <w:r>
        <w:fldChar w:fldCharType="separate"/>
      </w:r>
      <w:r>
        <w:rPr>
          <w:rStyle w:val="32"/>
          <w:rFonts w:hint="eastAsia" w:asciiTheme="minorEastAsia" w:hAnsiTheme="minorEastAsia" w:eastAsiaTheme="minorEastAsia"/>
          <w:sz w:val="28"/>
          <w:szCs w:val="28"/>
        </w:rPr>
        <w:t>第八章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采购合同（样例）</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78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rPr>
          <w:rFonts w:cs="黑体" w:asciiTheme="minorEastAsia" w:hAnsiTheme="minorEastAsia" w:eastAsiaTheme="minorEastAsia"/>
          <w:b/>
          <w:bCs/>
          <w:sz w:val="28"/>
          <w:szCs w:val="28"/>
        </w:rPr>
      </w:pPr>
      <w:r>
        <w:rPr>
          <w:rFonts w:cs="黑体" w:asciiTheme="minorEastAsia" w:hAnsiTheme="minorEastAsia" w:eastAsiaTheme="minorEastAsia"/>
          <w:b/>
          <w:bCs/>
          <w:sz w:val="28"/>
          <w:szCs w:val="28"/>
        </w:rPr>
        <w:fldChar w:fldCharType="end"/>
      </w: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pStyle w:val="2"/>
        <w:spacing w:line="240" w:lineRule="auto"/>
        <w:jc w:val="center"/>
        <w:rPr>
          <w:rFonts w:asciiTheme="minorEastAsia" w:hAnsiTheme="minorEastAsia" w:eastAsiaTheme="minorEastAsia"/>
        </w:rPr>
      </w:pPr>
      <w:bookmarkStart w:id="1" w:name="_Toc17410"/>
      <w:bookmarkStart w:id="2" w:name="_Toc2602456"/>
      <w:bookmarkStart w:id="3" w:name="_Toc8671"/>
      <w:r>
        <w:rPr>
          <w:rFonts w:hint="eastAsia" w:asciiTheme="minorEastAsia" w:hAnsiTheme="minorEastAsia" w:eastAsiaTheme="minorEastAsia"/>
        </w:rPr>
        <w:t>第一章</w:t>
      </w:r>
      <w:r>
        <w:rPr>
          <w:rFonts w:asciiTheme="minorEastAsia" w:hAnsiTheme="minorEastAsia" w:eastAsiaTheme="minorEastAsia"/>
        </w:rPr>
        <w:t xml:space="preserve">  </w:t>
      </w:r>
      <w:r>
        <w:rPr>
          <w:rFonts w:hint="eastAsia" w:asciiTheme="minorEastAsia" w:hAnsiTheme="minorEastAsia" w:eastAsiaTheme="minorEastAsia"/>
        </w:rPr>
        <w:t>投标邀请</w:t>
      </w:r>
      <w:bookmarkEnd w:id="1"/>
      <w:bookmarkEnd w:id="2"/>
      <w:bookmarkEnd w:id="3"/>
    </w:p>
    <w:p>
      <w:pPr>
        <w:spacing w:beforeLines="50" w:afterLines="50" w:line="40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u w:val="single"/>
        </w:rPr>
        <w:t>四川正通建设项目管理有限公司</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受</w:t>
      </w:r>
      <w:r>
        <w:rPr>
          <w:rFonts w:hint="eastAsia" w:asciiTheme="minorEastAsia" w:hAnsiTheme="minorEastAsia" w:eastAsiaTheme="minorEastAsia"/>
          <w:sz w:val="24"/>
          <w:u w:val="single"/>
        </w:rPr>
        <w:t xml:space="preserve">  广汉市人民医院</w:t>
      </w:r>
      <w:r>
        <w:rPr>
          <w:rFonts w:asciiTheme="minorEastAsia" w:hAnsiTheme="minorEastAsia" w:eastAsiaTheme="minorEastAsia"/>
          <w:bCs/>
          <w:sz w:val="24"/>
          <w:u w:val="single"/>
        </w:rPr>
        <w:t xml:space="preserve">  </w:t>
      </w:r>
      <w:r>
        <w:rPr>
          <w:rFonts w:hint="eastAsia" w:asciiTheme="minorEastAsia" w:hAnsiTheme="minorEastAsia" w:eastAsiaTheme="minorEastAsia"/>
          <w:sz w:val="24"/>
        </w:rPr>
        <w:t>委托，拟对</w:t>
      </w:r>
      <w:r>
        <w:rPr>
          <w:rFonts w:asciiTheme="minorEastAsia" w:hAnsiTheme="minorEastAsia" w:eastAsiaTheme="minorEastAsia"/>
          <w:bCs/>
          <w:sz w:val="24"/>
          <w:u w:val="single"/>
        </w:rPr>
        <w:t xml:space="preserve">  </w:t>
      </w:r>
      <w:r>
        <w:rPr>
          <w:rFonts w:hint="eastAsia" w:asciiTheme="minorEastAsia" w:hAnsiTheme="minorEastAsia" w:eastAsiaTheme="minorEastAsia"/>
          <w:sz w:val="24"/>
          <w:u w:val="single"/>
        </w:rPr>
        <w:t xml:space="preserve">广汉市人民医院第二批耗材采购  </w:t>
      </w:r>
      <w:r>
        <w:rPr>
          <w:rFonts w:hint="eastAsia" w:asciiTheme="minorEastAsia" w:hAnsiTheme="minorEastAsia" w:eastAsiaTheme="minorEastAsia"/>
          <w:sz w:val="24"/>
        </w:rPr>
        <w:t>进行国内</w:t>
      </w:r>
      <w:r>
        <w:rPr>
          <w:rFonts w:hint="eastAsia" w:asciiTheme="minorEastAsia" w:hAnsiTheme="minorEastAsia" w:eastAsiaTheme="minorEastAsia"/>
          <w:bCs/>
          <w:sz w:val="24"/>
        </w:rPr>
        <w:t>公开</w:t>
      </w:r>
      <w:r>
        <w:rPr>
          <w:rFonts w:hint="eastAsia" w:asciiTheme="minorEastAsia" w:hAnsiTheme="minorEastAsia" w:eastAsiaTheme="minorEastAsia"/>
          <w:sz w:val="24"/>
        </w:rPr>
        <w:t>招标，兹邀请符合本次招标要求的供应商参加投标。</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一、招标编号：</w:t>
      </w:r>
      <w:r>
        <w:rPr>
          <w:rFonts w:asciiTheme="minorEastAsia" w:hAnsiTheme="minorEastAsia" w:eastAsiaTheme="minorEastAsia"/>
          <w:b/>
          <w:sz w:val="24"/>
        </w:rPr>
        <w:t>ZT[2020]02</w:t>
      </w:r>
      <w:r>
        <w:rPr>
          <w:rFonts w:hint="eastAsia" w:asciiTheme="minorEastAsia" w:hAnsiTheme="minorEastAsia" w:eastAsiaTheme="minorEastAsia"/>
          <w:b/>
          <w:sz w:val="24"/>
        </w:rPr>
        <w:t>3号。</w:t>
      </w:r>
    </w:p>
    <w:p>
      <w:pPr>
        <w:spacing w:beforeLines="50" w:afterLines="50" w:line="400" w:lineRule="exact"/>
        <w:ind w:right="31" w:rightChars="15"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二、</w:t>
      </w:r>
      <w:r>
        <w:rPr>
          <w:rFonts w:hint="eastAsia" w:asciiTheme="minorEastAsia" w:hAnsiTheme="minorEastAsia" w:eastAsiaTheme="minorEastAsia"/>
          <w:b/>
          <w:sz w:val="24"/>
        </w:rPr>
        <w:t>招标项目：</w:t>
      </w:r>
      <w:r>
        <w:rPr>
          <w:rFonts w:hint="eastAsia" w:asciiTheme="minorEastAsia" w:hAnsiTheme="minorEastAsia" w:eastAsiaTheme="minorEastAsia"/>
          <w:sz w:val="24"/>
        </w:rPr>
        <w:t>广汉市人民医院第二批耗材采购。</w:t>
      </w:r>
    </w:p>
    <w:p>
      <w:pPr>
        <w:spacing w:beforeLines="50" w:afterLines="50" w:line="400" w:lineRule="exact"/>
        <w:ind w:right="31" w:rightChars="15" w:firstLine="482" w:firstLineChars="200"/>
        <w:rPr>
          <w:rFonts w:asciiTheme="minorEastAsia" w:hAnsiTheme="minorEastAsia" w:eastAsiaTheme="minorEastAsia"/>
          <w:b/>
          <w:bCs/>
          <w:sz w:val="24"/>
        </w:rPr>
      </w:pPr>
      <w:r>
        <w:rPr>
          <w:rFonts w:hint="eastAsia" w:asciiTheme="minorEastAsia" w:hAnsiTheme="minorEastAsia" w:eastAsiaTheme="minorEastAsia"/>
          <w:b/>
          <w:sz w:val="24"/>
        </w:rPr>
        <w:t>三、资金来源：</w:t>
      </w:r>
      <w:r>
        <w:rPr>
          <w:rFonts w:hint="eastAsia" w:cs="宋体" w:asciiTheme="minorEastAsia" w:hAnsiTheme="minorEastAsia" w:eastAsiaTheme="minorEastAsia"/>
          <w:bCs/>
          <w:sz w:val="24"/>
        </w:rPr>
        <w:t>财政资金</w:t>
      </w:r>
      <w:r>
        <w:rPr>
          <w:rFonts w:hint="eastAsia" w:asciiTheme="minorEastAsia" w:hAnsiTheme="minorEastAsia" w:eastAsiaTheme="minorEastAsia"/>
          <w:bCs/>
          <w:sz w:val="24"/>
        </w:rPr>
        <w:t>。</w:t>
      </w:r>
    </w:p>
    <w:p>
      <w:pPr>
        <w:spacing w:beforeLines="50" w:afterLines="50"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w:t>
      </w:r>
      <w:r>
        <w:rPr>
          <w:rFonts w:hint="eastAsia" w:asciiTheme="minorEastAsia" w:hAnsiTheme="minorEastAsia" w:eastAsiaTheme="minorEastAsia"/>
          <w:b/>
          <w:sz w:val="24"/>
        </w:rPr>
        <w:t>招标项目简介：</w:t>
      </w:r>
    </w:p>
    <w:p>
      <w:pPr>
        <w:spacing w:beforeLines="50" w:afterLines="50" w:line="400" w:lineRule="exact"/>
        <w:ind w:firstLine="480" w:firstLineChars="200"/>
        <w:rPr>
          <w:rFonts w:asciiTheme="minorEastAsia" w:hAnsiTheme="minorEastAsia" w:eastAsiaTheme="minorEastAsia"/>
          <w:spacing w:val="-4"/>
          <w:sz w:val="24"/>
        </w:rPr>
      </w:pPr>
      <w:r>
        <w:rPr>
          <w:rFonts w:hint="eastAsia" w:asciiTheme="minorEastAsia" w:hAnsiTheme="minorEastAsia" w:eastAsiaTheme="minorEastAsia"/>
          <w:sz w:val="24"/>
        </w:rPr>
        <w:t>广汉市人民医院第二批耗材采购</w:t>
      </w:r>
      <w:r>
        <w:rPr>
          <w:rFonts w:hint="eastAsia" w:asciiTheme="minorEastAsia" w:hAnsiTheme="minorEastAsia" w:eastAsiaTheme="minorEastAsia"/>
          <w:spacing w:val="-4"/>
          <w:sz w:val="24"/>
        </w:rPr>
        <w:t>。</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（详见招标文件第六章）。</w:t>
      </w:r>
    </w:p>
    <w:p>
      <w:pPr>
        <w:spacing w:beforeLines="50" w:afterLines="50"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五、供应商参加本次采购活动，应当在提交投标文件前具备下列条件：</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1.具有独立承担民事责任的能力；</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2.具有良好的商业信誉和健全的财务会计制度；</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3.具有履行合同所必须的设备和专业技术能力；</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4.具有依法缴纳税收和社会保障资金的良好记录；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5.参加本次采购活动前三年内，在经营活动中没有重大违法违规记录；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6.法律、行政法规规定的其他条件；</w:t>
      </w:r>
    </w:p>
    <w:p>
      <w:pPr>
        <w:spacing w:beforeLines="50" w:afterLines="50" w:line="4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bCs/>
          <w:sz w:val="24"/>
        </w:rPr>
        <w:t>7.</w:t>
      </w:r>
      <w:r>
        <w:rPr>
          <w:rFonts w:hint="eastAsia" w:asciiTheme="minorEastAsia" w:hAnsiTheme="minorEastAsia" w:eastAsiaTheme="minorEastAsia"/>
          <w:sz w:val="24"/>
        </w:rPr>
        <w:t xml:space="preserve"> </w:t>
      </w:r>
      <w:r>
        <w:rPr>
          <w:rFonts w:hint="eastAsia" w:asciiTheme="minorEastAsia" w:hAnsiTheme="minorEastAsia" w:eastAsiaTheme="minorEastAsia"/>
          <w:bCs/>
          <w:sz w:val="24"/>
        </w:rPr>
        <w:t>根据采购项目提出的特殊条件；</w:t>
      </w:r>
      <w:r>
        <w:rPr>
          <w:rFonts w:hint="eastAsia" w:asciiTheme="minorEastAsia" w:hAnsiTheme="minorEastAsia" w:eastAsiaTheme="minorEastAsia"/>
          <w:color w:val="FF0000"/>
          <w:sz w:val="24"/>
        </w:rPr>
        <w:t xml:space="preserve"> </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7.1投标人须提供每包相应的符合《医疗器械监督管理条例》要求的《医疗器械经营企业许可证》及相关经营范围；</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7.1投标人截止至采购公告发布之日前未被列入“信用中国”网站(www.creditchina.gov.cn)、“中国政府采购网”网站(www.ccgp.gov.cn)、“四川政府采购”网站(曝光台)(</w:t>
      </w:r>
      <w:r>
        <w:rPr>
          <w:rFonts w:asciiTheme="minorEastAsia" w:hAnsiTheme="minorEastAsia" w:eastAsiaTheme="minorEastAsia"/>
          <w:bCs/>
          <w:sz w:val="24"/>
        </w:rPr>
        <w:t xml:space="preserve"> www.ccgp-sichuan.gov.cn</w:t>
      </w:r>
      <w:r>
        <w:rPr>
          <w:rFonts w:hint="eastAsia" w:asciiTheme="minorEastAsia" w:hAnsiTheme="minorEastAsia" w:eastAsiaTheme="minorEastAsia"/>
          <w:bCs/>
          <w:sz w:val="24"/>
        </w:rPr>
        <w:t>) 中任一网站的失信被执行人名单或重大税收违法案件当事人名单或政府采购严重违法失信行为记录名单。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7.2参加本项目采购活动的供应商单位、法定代表人、主要负责人在前三年内不得具有行贿犯罪记录。</w:t>
      </w:r>
    </w:p>
    <w:p>
      <w:pPr>
        <w:spacing w:beforeLines="50" w:afterLines="50" w:line="40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bCs/>
          <w:sz w:val="24"/>
        </w:rPr>
        <w:t>7.3本项目不接受联合体投标。</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六、招标文件获取时间、地点：</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招标文件自</w:t>
      </w:r>
      <w:r>
        <w:rPr>
          <w:rFonts w:asciiTheme="minorEastAsia" w:hAnsiTheme="minorEastAsia" w:eastAsiaTheme="minorEastAsia"/>
          <w:sz w:val="24"/>
        </w:rPr>
        <w:t>20</w:t>
      </w:r>
      <w:r>
        <w:rPr>
          <w:rFonts w:hint="eastAsia" w:asciiTheme="minorEastAsia" w:hAnsiTheme="minorEastAsia" w:eastAsiaTheme="minorEastAsia"/>
          <w:sz w:val="24"/>
        </w:rPr>
        <w:t>20年12 月 17日至</w:t>
      </w:r>
      <w:r>
        <w:rPr>
          <w:rFonts w:asciiTheme="minorEastAsia" w:hAnsiTheme="minorEastAsia" w:eastAsiaTheme="minorEastAsia"/>
          <w:sz w:val="24"/>
        </w:rPr>
        <w:t>20</w:t>
      </w:r>
      <w:r>
        <w:rPr>
          <w:rFonts w:hint="eastAsia" w:asciiTheme="minorEastAsia" w:hAnsiTheme="minorEastAsia" w:eastAsiaTheme="minorEastAsia"/>
          <w:sz w:val="24"/>
        </w:rPr>
        <w:t>20年12月22日</w:t>
      </w:r>
      <w:r>
        <w:rPr>
          <w:rFonts w:asciiTheme="minorEastAsia" w:hAnsiTheme="minorEastAsia" w:eastAsiaTheme="minorEastAsia"/>
          <w:sz w:val="24"/>
        </w:rPr>
        <w:t>09:00- 17:00</w:t>
      </w:r>
      <w:r>
        <w:rPr>
          <w:rFonts w:hint="eastAsia" w:asciiTheme="minorEastAsia" w:hAnsiTheme="minorEastAsia" w:eastAsiaTheme="minorEastAsia"/>
          <w:sz w:val="24"/>
        </w:rPr>
        <w:t>（北京时间，法定节假日除外）购买。招标文件售价：人民币400元</w:t>
      </w:r>
      <w:r>
        <w:rPr>
          <w:rFonts w:asciiTheme="minorEastAsia" w:hAnsiTheme="minorEastAsia" w:eastAsiaTheme="minorEastAsia"/>
          <w:sz w:val="24"/>
        </w:rPr>
        <w:t>/</w:t>
      </w:r>
      <w:r>
        <w:rPr>
          <w:rFonts w:hint="eastAsia" w:asciiTheme="minorEastAsia" w:hAnsiTheme="minorEastAsia" w:eastAsiaTheme="minorEastAsia"/>
          <w:sz w:val="24"/>
        </w:rPr>
        <w:t>份（招标文件售后不退</w:t>
      </w:r>
      <w:r>
        <w:rPr>
          <w:rFonts w:asciiTheme="minorEastAsia" w:hAnsiTheme="minorEastAsia" w:eastAsiaTheme="minorEastAsia"/>
          <w:sz w:val="24"/>
        </w:rPr>
        <w:t xml:space="preserve">, </w:t>
      </w:r>
      <w:r>
        <w:rPr>
          <w:rFonts w:hint="eastAsia" w:asciiTheme="minorEastAsia" w:hAnsiTheme="minorEastAsia" w:eastAsiaTheme="minorEastAsia"/>
          <w:sz w:val="24"/>
        </w:rPr>
        <w:t>投标资格不能转让）。请自带</w:t>
      </w:r>
      <w:r>
        <w:rPr>
          <w:rFonts w:hint="eastAsia" w:asciiTheme="minorEastAsia" w:hAnsiTheme="minorEastAsia" w:eastAsiaTheme="minorEastAsia"/>
          <w:b/>
          <w:sz w:val="24"/>
        </w:rPr>
        <w:t>U</w:t>
      </w:r>
      <w:r>
        <w:rPr>
          <w:rFonts w:hint="eastAsia" w:asciiTheme="minorEastAsia" w:hAnsiTheme="minorEastAsia" w:eastAsiaTheme="minorEastAsia"/>
          <w:sz w:val="24"/>
        </w:rPr>
        <w:t>盘拷贝招标文件。</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现场获取：获取招标文件时，经办人员应当现场提交以下资料：供应商为法人或者其他组织的，需提供单位介绍信、授权代表身份证（验原件，留加盖公司公章的复印件）、报名登记表（见附件，该附件不作为采购文件内容仅作为报名资料,此表可提前准备也可现场填写）；供应商为自然人的，需提供本人身份证明（验原件，留本人签字的复印件）、报名登记表（见附件，该附件不作为采购文件内容仅作为报名资料,此表可提前准备也可现场填写）。现场获取地址：四川正通建设项目管理有限公司（德阳市旌阳区天元镇天元路23号，名途汽车后院，天鹅路1号）（2）网络获取：经办人员应当将资料扫描件发送至邮箱：1643814134@qq.com，资料原件于开标当天交至采购代理机构处。联系人：宋女士，电话：2852688。</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七、投标截止时间：</w:t>
      </w:r>
      <w:r>
        <w:rPr>
          <w:rFonts w:asciiTheme="minorEastAsia" w:hAnsiTheme="minorEastAsia" w:eastAsiaTheme="minorEastAsia"/>
          <w:bCs/>
          <w:sz w:val="24"/>
        </w:rPr>
        <w:t>20</w:t>
      </w:r>
      <w:r>
        <w:rPr>
          <w:rFonts w:hint="eastAsia" w:asciiTheme="minorEastAsia" w:hAnsiTheme="minorEastAsia" w:eastAsiaTheme="minorEastAsia"/>
          <w:bCs/>
          <w:sz w:val="24"/>
        </w:rPr>
        <w:t>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 xml:space="preserve">年 </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 xml:space="preserve">月 </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 xml:space="preserve"> 日</w:t>
      </w:r>
      <w:r>
        <w:rPr>
          <w:rFonts w:hint="eastAsia" w:asciiTheme="minorEastAsia" w:hAnsiTheme="minorEastAsia" w:eastAsiaTheme="minorEastAsia"/>
          <w:b/>
          <w:bCs/>
          <w:sz w:val="24"/>
        </w:rPr>
        <w:t>10:00</w:t>
      </w:r>
      <w:r>
        <w:rPr>
          <w:rFonts w:hint="eastAsia" w:asciiTheme="minorEastAsia" w:hAnsiTheme="minorEastAsia" w:eastAsiaTheme="minorEastAsia"/>
          <w:sz w:val="24"/>
        </w:rPr>
        <w:t>（北京时间）。</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开标时间：</w:t>
      </w:r>
      <w:r>
        <w:rPr>
          <w:rFonts w:asciiTheme="minorEastAsia" w:hAnsiTheme="minorEastAsia" w:eastAsiaTheme="minorEastAsia"/>
          <w:bCs/>
          <w:sz w:val="24"/>
        </w:rPr>
        <w:t>20</w:t>
      </w:r>
      <w:r>
        <w:rPr>
          <w:rFonts w:hint="eastAsia" w:asciiTheme="minorEastAsia" w:hAnsiTheme="minorEastAsia" w:eastAsiaTheme="minorEastAsia"/>
          <w:bCs/>
          <w:sz w:val="24"/>
        </w:rPr>
        <w:t>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 1月</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 xml:space="preserve"> 日</w:t>
      </w:r>
      <w:r>
        <w:rPr>
          <w:rFonts w:hint="eastAsia" w:asciiTheme="minorEastAsia" w:hAnsiTheme="minorEastAsia" w:eastAsiaTheme="minorEastAsia"/>
          <w:b/>
          <w:bCs/>
          <w:sz w:val="24"/>
        </w:rPr>
        <w:t>10:00</w:t>
      </w:r>
      <w:r>
        <w:rPr>
          <w:rFonts w:hint="eastAsia" w:asciiTheme="minorEastAsia" w:hAnsiTheme="minorEastAsia" w:eastAsiaTheme="minorEastAsia"/>
          <w:sz w:val="24"/>
        </w:rPr>
        <w:t>（北京时间）。</w:t>
      </w:r>
    </w:p>
    <w:p>
      <w:pPr>
        <w:pStyle w:val="9"/>
        <w:spacing w:beforeLines="50" w:afterLines="50"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投标文件必须在投标截止时间前送达开标地点。逾期送达的投标文件不予接收。本次招标不接受邮寄的投标文件。</w:t>
      </w:r>
    </w:p>
    <w:p>
      <w:pPr>
        <w:spacing w:beforeLines="50" w:afterLines="50" w:line="400" w:lineRule="exact"/>
        <w:ind w:firstLine="489" w:firstLineChars="203"/>
        <w:rPr>
          <w:rFonts w:asciiTheme="minorEastAsia" w:hAnsiTheme="minorEastAsia" w:eastAsiaTheme="minorEastAsia"/>
          <w:sz w:val="24"/>
        </w:rPr>
      </w:pPr>
      <w:r>
        <w:rPr>
          <w:rFonts w:hint="eastAsia" w:asciiTheme="minorEastAsia" w:hAnsiTheme="minorEastAsia" w:eastAsiaTheme="minorEastAsia"/>
          <w:b/>
          <w:sz w:val="24"/>
        </w:rPr>
        <w:t>八、开标地点：</w:t>
      </w:r>
      <w:r>
        <w:rPr>
          <w:rFonts w:hint="eastAsia" w:asciiTheme="minorEastAsia" w:hAnsiTheme="minorEastAsia" w:eastAsiaTheme="minorEastAsia"/>
          <w:sz w:val="24"/>
        </w:rPr>
        <w:t>四川正通建设项目管理有限公司（德阳市旌阳区天元镇天元路23号，名途汽车后院，天鹅路1号）。</w:t>
      </w:r>
    </w:p>
    <w:p>
      <w:pPr>
        <w:pStyle w:val="57"/>
        <w:spacing w:beforeLines="50" w:afterLines="50" w:line="400" w:lineRule="exact"/>
        <w:ind w:firstLine="482"/>
        <w:rPr>
          <w:rFonts w:asciiTheme="minorEastAsia" w:hAnsiTheme="minorEastAsia" w:eastAsiaTheme="minorEastAsia"/>
          <w:sz w:val="24"/>
        </w:rPr>
      </w:pPr>
      <w:r>
        <w:rPr>
          <w:rFonts w:hint="eastAsia" w:asciiTheme="minorEastAsia" w:hAnsiTheme="minorEastAsia" w:eastAsiaTheme="minorEastAsia"/>
          <w:b/>
          <w:sz w:val="24"/>
        </w:rPr>
        <w:t>九、本投标邀请在广汉市人民医院官网上以公告形式发布。</w:t>
      </w:r>
    </w:p>
    <w:p>
      <w:pPr>
        <w:pStyle w:val="57"/>
        <w:spacing w:beforeLines="50" w:afterLines="50" w:line="400" w:lineRule="exact"/>
        <w:ind w:firstLine="482"/>
        <w:rPr>
          <w:rFonts w:asciiTheme="minorEastAsia" w:hAnsiTheme="minorEastAsia" w:eastAsiaTheme="minorEastAsia"/>
          <w:b/>
          <w:sz w:val="24"/>
        </w:rPr>
      </w:pPr>
      <w:r>
        <w:rPr>
          <w:rFonts w:hint="eastAsia" w:asciiTheme="minorEastAsia" w:hAnsiTheme="minorEastAsia" w:eastAsiaTheme="minorEastAsia"/>
          <w:b/>
          <w:sz w:val="24"/>
        </w:rPr>
        <w:t>十、联系方式</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color w:val="FF0000"/>
          <w:sz w:val="24"/>
        </w:rPr>
        <w:t xml:space="preserve">        </w:t>
      </w:r>
      <w:r>
        <w:rPr>
          <w:rFonts w:hint="eastAsia" w:asciiTheme="minorEastAsia" w:hAnsiTheme="minorEastAsia" w:eastAsiaTheme="minorEastAsia"/>
          <w:sz w:val="24"/>
        </w:rPr>
        <w:t>采购单位：广汉市人民医院</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地址：四川省广汉市雒城镇汉口路75号</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联系人：阳老师</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联系电话：0838-5248164</w:t>
      </w:r>
      <w:r>
        <w:rPr>
          <w:rFonts w:asciiTheme="minorEastAsia" w:hAnsiTheme="minorEastAsia" w:eastAsiaTheme="minorEastAsia"/>
          <w:sz w:val="24"/>
        </w:rPr>
        <w:t xml:space="preserve">          </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采购代理机构：四川正通建设项目管理有限公司</w:t>
      </w:r>
    </w:p>
    <w:p>
      <w:pPr>
        <w:tabs>
          <w:tab w:val="left" w:pos="2310"/>
        </w:tabs>
        <w:spacing w:beforeLines="50" w:afterLines="50" w:line="400" w:lineRule="exact"/>
        <w:ind w:right="420" w:right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址：德阳市旌阳区天元镇天元路</w:t>
      </w:r>
      <w:r>
        <w:rPr>
          <w:rFonts w:asciiTheme="minorEastAsia" w:hAnsiTheme="minorEastAsia" w:eastAsiaTheme="minorEastAsia"/>
          <w:sz w:val="24"/>
        </w:rPr>
        <w:t>23</w:t>
      </w:r>
      <w:r>
        <w:rPr>
          <w:rFonts w:hint="eastAsia" w:asciiTheme="minorEastAsia" w:hAnsiTheme="minorEastAsia" w:eastAsiaTheme="minorEastAsia"/>
          <w:sz w:val="24"/>
        </w:rPr>
        <w:t>号</w:t>
      </w:r>
      <w:r>
        <w:rPr>
          <w:rFonts w:asciiTheme="minorEastAsia" w:hAnsiTheme="minorEastAsia" w:eastAsiaTheme="minorEastAsia"/>
          <w:sz w:val="24"/>
        </w:rPr>
        <w:br w:type="textWrapping"/>
      </w:r>
      <w:r>
        <w:rPr>
          <w:rFonts w:asciiTheme="minorEastAsia" w:hAnsiTheme="minorEastAsia" w:eastAsiaTheme="minorEastAsia"/>
          <w:sz w:val="24"/>
        </w:rPr>
        <w:t xml:space="preserve">          </w:t>
      </w:r>
      <w:r>
        <w:rPr>
          <w:rFonts w:hint="eastAsia" w:asciiTheme="minorEastAsia" w:hAnsiTheme="minorEastAsia" w:eastAsiaTheme="minorEastAsia"/>
          <w:sz w:val="24"/>
        </w:rPr>
        <w:t>联</w:t>
      </w:r>
      <w:r>
        <w:rPr>
          <w:rFonts w:asciiTheme="minorEastAsia" w:hAnsiTheme="minorEastAsia" w:eastAsiaTheme="minorEastAsia"/>
          <w:sz w:val="24"/>
        </w:rPr>
        <w:t xml:space="preserve"> </w:t>
      </w:r>
      <w:r>
        <w:rPr>
          <w:rFonts w:hint="eastAsia" w:asciiTheme="minorEastAsia" w:hAnsiTheme="minorEastAsia" w:eastAsiaTheme="minorEastAsia"/>
          <w:sz w:val="24"/>
        </w:rPr>
        <w:t>系</w:t>
      </w:r>
      <w:r>
        <w:rPr>
          <w:rFonts w:asciiTheme="minorEastAsia" w:hAnsiTheme="minorEastAsia" w:eastAsiaTheme="minorEastAsia"/>
          <w:sz w:val="24"/>
        </w:rPr>
        <w:t xml:space="preserve"> </w:t>
      </w:r>
      <w:r>
        <w:rPr>
          <w:rFonts w:hint="eastAsia" w:asciiTheme="minorEastAsia" w:hAnsiTheme="minorEastAsia" w:eastAsiaTheme="minorEastAsia"/>
          <w:sz w:val="24"/>
        </w:rPr>
        <w:t>人：张先生</w:t>
      </w:r>
      <w:r>
        <w:rPr>
          <w:rFonts w:asciiTheme="minorEastAsia" w:hAnsiTheme="minorEastAsia" w:eastAsiaTheme="minorEastAsia"/>
          <w:sz w:val="24"/>
        </w:rPr>
        <w:t xml:space="preserve">   </w:t>
      </w:r>
    </w:p>
    <w:p>
      <w:pPr>
        <w:tabs>
          <w:tab w:val="left" w:pos="2310"/>
        </w:tabs>
        <w:spacing w:beforeLines="50" w:afterLines="50" w:line="400" w:lineRule="exact"/>
        <w:ind w:right="420" w:right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联系电话：</w:t>
      </w:r>
      <w:r>
        <w:rPr>
          <w:rFonts w:asciiTheme="minorEastAsia" w:hAnsiTheme="minorEastAsia" w:eastAsiaTheme="minorEastAsia"/>
          <w:sz w:val="24"/>
        </w:rPr>
        <w:t>0838-2852688</w:t>
      </w:r>
      <w:r>
        <w:rPr>
          <w:rFonts w:asciiTheme="minorEastAsia" w:hAnsiTheme="minorEastAsia" w:eastAsiaTheme="minorEastAsia"/>
          <w:sz w:val="24"/>
        </w:rPr>
        <w:tab/>
      </w:r>
    </w:p>
    <w:p>
      <w:pPr>
        <w:pStyle w:val="23"/>
        <w:spacing w:beforeLines="50" w:beforeAutospacing="0" w:afterLines="50" w:afterAutospacing="0" w:line="400" w:lineRule="exact"/>
        <w:ind w:firstLine="5640" w:firstLineChars="2350"/>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rPr>
        <w:t>20年12月</w:t>
      </w:r>
    </w:p>
    <w:p>
      <w:pPr>
        <w:pStyle w:val="2"/>
        <w:spacing w:line="240" w:lineRule="atLeast"/>
        <w:jc w:val="center"/>
        <w:rPr>
          <w:rFonts w:asciiTheme="minorEastAsia" w:hAnsiTheme="minorEastAsia" w:eastAsiaTheme="minorEastAsia"/>
          <w:sz w:val="36"/>
          <w:szCs w:val="36"/>
        </w:rPr>
      </w:pPr>
      <w:bookmarkStart w:id="4" w:name="_Toc25121"/>
      <w:bookmarkStart w:id="5" w:name="_Toc24181"/>
      <w:bookmarkStart w:id="6" w:name="_Toc2602457"/>
      <w:bookmarkStart w:id="7" w:name="_Toc213396945"/>
      <w:bookmarkStart w:id="8" w:name="_Toc213396759"/>
      <w:bookmarkStart w:id="9" w:name="_Toc217446031"/>
      <w:bookmarkStart w:id="10" w:name="_Toc213496267"/>
      <w:bookmarkStart w:id="11" w:name="_Toc213397009"/>
      <w:r>
        <w:rPr>
          <w:rFonts w:hint="eastAsia" w:asciiTheme="minorEastAsia" w:hAnsiTheme="minorEastAsia" w:eastAsiaTheme="minorEastAsia"/>
          <w:sz w:val="36"/>
          <w:szCs w:val="36"/>
        </w:rPr>
        <w:t>第二章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投标人须知</w:t>
      </w:r>
      <w:bookmarkEnd w:id="4"/>
      <w:bookmarkEnd w:id="5"/>
      <w:bookmarkEnd w:id="6"/>
    </w:p>
    <w:p>
      <w:pPr>
        <w:jc w:val="center"/>
        <w:rPr>
          <w:rFonts w:cs="黑体" w:asciiTheme="minorEastAsia" w:hAnsiTheme="minorEastAsia" w:eastAsiaTheme="minorEastAsia"/>
          <w:b/>
          <w:bCs/>
          <w:sz w:val="32"/>
          <w:szCs w:val="32"/>
        </w:rPr>
      </w:pPr>
      <w:bookmarkStart w:id="12" w:name="_Toc8890"/>
      <w:r>
        <w:rPr>
          <w:rFonts w:hint="eastAsia" w:cs="黑体" w:asciiTheme="minorEastAsia" w:hAnsiTheme="minorEastAsia" w:eastAsiaTheme="minorEastAsia"/>
          <w:b/>
          <w:bCs/>
          <w:sz w:val="32"/>
          <w:szCs w:val="32"/>
        </w:rPr>
        <w:t>一、投标人须知附表</w:t>
      </w:r>
      <w:bookmarkEnd w:id="12"/>
    </w:p>
    <w:bookmarkEnd w:id="7"/>
    <w:bookmarkEnd w:id="8"/>
    <w:bookmarkEnd w:id="9"/>
    <w:bookmarkEnd w:id="10"/>
    <w:bookmarkEnd w:id="11"/>
    <w:tbl>
      <w:tblPr>
        <w:tblStyle w:val="24"/>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18" w:hRule="exact"/>
          <w:tblHeader/>
          <w:jc w:val="center"/>
        </w:trPr>
        <w:tc>
          <w:tcPr>
            <w:tcW w:w="838" w:type="dxa"/>
            <w:tcBorders>
              <w:top w:val="single" w:color="auto" w:sz="18" w:space="0"/>
            </w:tcBorders>
            <w:vAlign w:val="center"/>
          </w:tcPr>
          <w:p>
            <w:pPr>
              <w:pStyle w:val="55"/>
              <w:ind w:left="9"/>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序号</w:t>
            </w:r>
            <w:r>
              <w:rPr>
                <w:rFonts w:cs="Times New Roman" w:asciiTheme="minorEastAsia" w:hAnsiTheme="minorEastAsia" w:eastAsiaTheme="minorEastAsia"/>
                <w:kern w:val="2"/>
                <w:szCs w:val="28"/>
              </w:rPr>
              <w:t xml:space="preserve"> </w:t>
            </w:r>
          </w:p>
        </w:tc>
        <w:tc>
          <w:tcPr>
            <w:tcW w:w="2552" w:type="dxa"/>
            <w:tcBorders>
              <w:top w:val="single" w:color="auto" w:sz="18" w:space="0"/>
            </w:tcBorders>
            <w:vAlign w:val="center"/>
          </w:tcPr>
          <w:p>
            <w:pPr>
              <w:pStyle w:val="55"/>
              <w:ind w:left="38"/>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条款名称</w:t>
            </w:r>
          </w:p>
        </w:tc>
        <w:tc>
          <w:tcPr>
            <w:tcW w:w="6111" w:type="dxa"/>
            <w:tcBorders>
              <w:top w:val="single" w:color="auto" w:sz="18" w:space="0"/>
            </w:tcBorders>
            <w:vAlign w:val="center"/>
          </w:tcPr>
          <w:p>
            <w:pPr>
              <w:pStyle w:val="55"/>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5"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cs="Times New Roman" w:asciiTheme="minorEastAsia" w:hAnsiTheme="minorEastAsia" w:eastAsiaTheme="minorEastAsia"/>
                <w:kern w:val="2"/>
                <w:szCs w:val="28"/>
              </w:rPr>
              <w:t>1</w:t>
            </w:r>
          </w:p>
        </w:tc>
        <w:tc>
          <w:tcPr>
            <w:tcW w:w="2552" w:type="dxa"/>
            <w:tcBorders>
              <w:bottom w:val="single" w:color="auto" w:sz="4" w:space="0"/>
            </w:tcBorders>
            <w:vAlign w:val="center"/>
          </w:tcPr>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采购预算</w:t>
            </w:r>
          </w:p>
          <w:p>
            <w:pPr>
              <w:pStyle w:val="55"/>
              <w:ind w:left="38"/>
              <w:jc w:val="center"/>
              <w:rPr>
                <w:rFonts w:cs="Times New Roman" w:asciiTheme="minorEastAsia" w:hAnsiTheme="minorEastAsia" w:eastAsiaTheme="minorEastAsia"/>
                <w:kern w:val="2"/>
              </w:rPr>
            </w:pPr>
            <w:r>
              <w:rPr>
                <w:rFonts w:hint="eastAsia" w:asciiTheme="minorEastAsia" w:hAnsiTheme="minorEastAsia" w:eastAsiaTheme="minorEastAsia"/>
              </w:rPr>
              <w:t>（实质性要求）</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采购预算</w:t>
            </w:r>
            <w:r>
              <w:rPr>
                <w:rFonts w:hint="eastAsia" w:asciiTheme="minorEastAsia" w:hAnsiTheme="minorEastAsia" w:eastAsiaTheme="minorEastAsia"/>
                <w:bCs/>
                <w:sz w:val="24"/>
              </w:rPr>
              <w:t>：</w:t>
            </w:r>
            <w:r>
              <w:rPr>
                <w:rFonts w:hint="eastAsia" w:asciiTheme="minorEastAsia" w:hAnsiTheme="minorEastAsia" w:eastAsiaTheme="minorEastAsia"/>
                <w:sz w:val="24"/>
              </w:rPr>
              <w:t>各包采购预算单价见招标文件第六章。</w:t>
            </w:r>
          </w:p>
          <w:p>
            <w:pPr>
              <w:pStyle w:val="55"/>
              <w:spacing w:line="400" w:lineRule="exact"/>
              <w:jc w:val="both"/>
              <w:rPr>
                <w:rFonts w:cs="Times New Roman" w:asciiTheme="minorEastAsia" w:hAnsiTheme="minorEastAsia" w:eastAsiaTheme="minorEastAsia"/>
                <w:kern w:val="2"/>
              </w:rPr>
            </w:pPr>
            <w:r>
              <w:rPr>
                <w:rFonts w:hint="eastAsia" w:asciiTheme="minorEastAsia" w:hAnsiTheme="minorEastAsia" w:eastAsiaTheme="minorEastAsia"/>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5"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2</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最高限价</w:t>
            </w:r>
          </w:p>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（实质性要求）</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最高限价</w:t>
            </w:r>
            <w:r>
              <w:rPr>
                <w:rFonts w:hint="eastAsia" w:asciiTheme="minorEastAsia" w:hAnsiTheme="minorEastAsia" w:eastAsiaTheme="minorEastAsia"/>
                <w:bCs/>
                <w:sz w:val="24"/>
              </w:rPr>
              <w:t>：</w:t>
            </w:r>
            <w:r>
              <w:rPr>
                <w:rFonts w:hint="eastAsia" w:asciiTheme="minorEastAsia" w:hAnsiTheme="minorEastAsia" w:eastAsiaTheme="minorEastAsia"/>
                <w:sz w:val="24"/>
              </w:rPr>
              <w:t>采购预算。</w:t>
            </w:r>
          </w:p>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超过最高限价的投标为无效投标。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36"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3</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报价方式</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本项目每包按照折扣率报价。每包所有品种只报一个折扣率。</w:t>
            </w:r>
          </w:p>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每包每年采购金额根据广汉市人民医院每年实际使用量计算。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4</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供货期限</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三年，合同一年一签，根据每年采购人对供应商考核情况确定是否续签下一年度采购合同。</w:t>
            </w:r>
            <w:bookmarkStart w:id="714" w:name="_GoBack"/>
            <w:bookmarkEnd w:id="7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35" w:hRule="atLeas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5</w:t>
            </w:r>
          </w:p>
        </w:tc>
        <w:tc>
          <w:tcPr>
            <w:tcW w:w="2552" w:type="dxa"/>
            <w:vAlign w:val="center"/>
          </w:tcPr>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低于成本价不正当</w:t>
            </w:r>
          </w:p>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竞争预防措施</w:t>
            </w:r>
          </w:p>
          <w:p>
            <w:pPr>
              <w:pStyle w:val="55"/>
              <w:ind w:left="38"/>
              <w:jc w:val="center"/>
              <w:rPr>
                <w:rFonts w:cs="Times New Roman" w:asciiTheme="minorEastAsia" w:hAnsiTheme="minorEastAsia" w:eastAsiaTheme="minorEastAsia"/>
                <w:kern w:val="2"/>
              </w:rPr>
            </w:pPr>
            <w:r>
              <w:rPr>
                <w:rFonts w:hint="eastAsia" w:asciiTheme="minorEastAsia" w:hAnsiTheme="minorEastAsia" w:eastAsiaTheme="minorEastAsia"/>
              </w:rPr>
              <w:t>（实质性要求）</w:t>
            </w:r>
          </w:p>
        </w:tc>
        <w:tc>
          <w:tcPr>
            <w:tcW w:w="6111" w:type="dxa"/>
            <w:vAlign w:val="center"/>
          </w:tcPr>
          <w:p>
            <w:pPr>
              <w:pStyle w:val="55"/>
              <w:rPr>
                <w:rFonts w:asciiTheme="minorEastAsia" w:hAnsiTheme="minorEastAsia" w:eastAsiaTheme="minorEastAsia"/>
              </w:rPr>
            </w:pPr>
            <w:r>
              <w:rPr>
                <w:rFonts w:hint="eastAsia" w:asciiTheme="minorEastAsia" w:hAnsiTheme="minorEastAsia" w:eastAsiaTheme="min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jc w:val="both"/>
              <w:rPr>
                <w:rFonts w:asciiTheme="minorEastAsia" w:hAnsiTheme="minorEastAsia" w:eastAsiaTheme="minorEastAsia"/>
              </w:rPr>
            </w:pPr>
            <w:r>
              <w:rPr>
                <w:rFonts w:hint="eastAsia" w:asciiTheme="minorEastAsia" w:hAnsiTheme="minorEastAsia" w:eastAsiaTheme="minor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jc w:val="both"/>
              <w:rPr>
                <w:rFonts w:asciiTheme="minorEastAsia" w:hAnsiTheme="minorEastAsia" w:eastAsiaTheme="minorEastAsia"/>
              </w:rPr>
            </w:pPr>
            <w:r>
              <w:rPr>
                <w:rFonts w:hint="eastAsia" w:asciiTheme="minorEastAsia" w:hAnsiTheme="minorEastAsia" w:eastAsiaTheme="minor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31"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6</w:t>
            </w:r>
          </w:p>
        </w:tc>
        <w:tc>
          <w:tcPr>
            <w:tcW w:w="2552" w:type="dxa"/>
            <w:vAlign w:val="center"/>
          </w:tcPr>
          <w:p>
            <w:pPr>
              <w:pStyle w:val="55"/>
              <w:rPr>
                <w:rFonts w:asciiTheme="minorEastAsia" w:hAnsiTheme="minorEastAsia" w:eastAsiaTheme="minorEastAsia"/>
              </w:rPr>
            </w:pPr>
            <w:r>
              <w:rPr>
                <w:rFonts w:hint="eastAsia" w:asciiTheme="minorEastAsia" w:hAnsiTheme="minorEastAsia" w:eastAsiaTheme="minorEastAsia"/>
              </w:rPr>
              <w:t>小微企业（监狱企业、残疾人福利性单位视同小微企业）价格扣除和</w:t>
            </w:r>
          </w:p>
          <w:p>
            <w:pPr>
              <w:pStyle w:val="55"/>
              <w:rPr>
                <w:rFonts w:asciiTheme="minorEastAsia" w:hAnsiTheme="minorEastAsia" w:eastAsiaTheme="minorEastAsia"/>
              </w:rPr>
            </w:pPr>
            <w:r>
              <w:rPr>
                <w:rFonts w:hint="eastAsia" w:asciiTheme="minorEastAsia" w:hAnsiTheme="minorEastAsia" w:eastAsiaTheme="minorEastAsia"/>
              </w:rPr>
              <w:t>失信企业扣分</w:t>
            </w:r>
          </w:p>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（实质性要求）</w:t>
            </w:r>
          </w:p>
        </w:tc>
        <w:tc>
          <w:tcPr>
            <w:tcW w:w="6111" w:type="dxa"/>
            <w:vAlign w:val="center"/>
          </w:tcPr>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lang w:val="zh-CN"/>
              </w:rPr>
              <w:t>一、</w:t>
            </w:r>
            <w:r>
              <w:rPr>
                <w:rFonts w:hint="eastAsia" w:asciiTheme="minorEastAsia" w:hAnsiTheme="minorEastAsia" w:eastAsiaTheme="minorEastAsia"/>
                <w:color w:val="000000"/>
              </w:rPr>
              <w:t>小微企业（残疾人福利性单位、监狱企业视同小微企业）价格扣除（未按照招标文件要求提供声明函或证明文件的，不享受价格扣除；依法不享受价格扣除的供应商，可以不提供声明函或证明文件）：</w:t>
            </w:r>
            <w:r>
              <w:rPr>
                <w:rFonts w:asciiTheme="minorEastAsia" w:hAnsiTheme="minorEastAsia" w:eastAsiaTheme="minorEastAsia"/>
                <w:color w:val="000000"/>
              </w:rPr>
              <w:t xml:space="preserve"> </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1、根据《政府采购促进中小企业发展暂行办法》（财库[2011]181号）的规定，对符合规定的小型、微型企业报价给予</w:t>
            </w:r>
            <w:r>
              <w:rPr>
                <w:rFonts w:asciiTheme="minorEastAsia" w:hAnsiTheme="minorEastAsia" w:eastAsiaTheme="minorEastAsia"/>
                <w:color w:val="000000"/>
              </w:rPr>
              <w:t>10%</w:t>
            </w:r>
            <w:r>
              <w:rPr>
                <w:rFonts w:hint="eastAsia" w:asciiTheme="minorEastAsia" w:hAnsiTheme="minorEastAsia" w:eastAsiaTheme="minorEastAsia"/>
                <w:color w:val="000000"/>
              </w:rPr>
              <w:t>的扣除，用扣除后的价格参与评标。</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2、参加采购活动的中小企业应当提供《中小企业声明函》原件。</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3、符合条件的残疾人福利性单位在参加采购活动时，应当提供《残疾人福利性单位声明函》原件。</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4、监狱企业参加采购活动时，应当提供由省级以上监狱管理局、戒毒管理局（含新疆生产建设兵团）出具的属于监狱企业的证明文件复印件。</w:t>
            </w:r>
          </w:p>
          <w:p>
            <w:pPr>
              <w:pStyle w:val="55"/>
              <w:ind w:firstLine="240" w:firstLineChars="100"/>
              <w:jc w:val="both"/>
              <w:rPr>
                <w:rFonts w:asciiTheme="minorEastAsia" w:hAnsiTheme="minorEastAsia" w:eastAsiaTheme="minorEastAsia"/>
                <w:color w:val="000000"/>
                <w:lang w:val="zh-CN"/>
              </w:rPr>
            </w:pPr>
            <w:r>
              <w:rPr>
                <w:rFonts w:hint="eastAsia" w:asciiTheme="minorEastAsia" w:hAnsiTheme="minorEastAsia" w:eastAsiaTheme="minorEastAsia"/>
                <w:color w:val="000000"/>
                <w:lang w:val="zh-CN"/>
              </w:rPr>
              <w:t>二、失信企业报价加成或者扣分</w:t>
            </w:r>
          </w:p>
          <w:p>
            <w:pPr>
              <w:pStyle w:val="55"/>
              <w:ind w:firstLine="240" w:firstLineChars="100"/>
              <w:jc w:val="both"/>
              <w:rPr>
                <w:rFonts w:asciiTheme="minorEastAsia" w:hAnsiTheme="minorEastAsia" w:eastAsiaTheme="minorEastAsia"/>
                <w:color w:val="000000"/>
                <w:lang w:val="zh-CN"/>
              </w:rPr>
            </w:pPr>
            <w:r>
              <w:rPr>
                <w:rFonts w:asciiTheme="minorEastAsia" w:hAnsiTheme="minorEastAsia" w:eastAsiaTheme="minorEastAsia"/>
                <w:color w:val="000000"/>
                <w:lang w:val="zh-CN"/>
              </w:rPr>
              <w:t>1.</w:t>
            </w:r>
            <w:r>
              <w:rPr>
                <w:rFonts w:hint="eastAsia" w:asciiTheme="minorEastAsia" w:hAnsiTheme="minorEastAsia" w:eastAsiaTheme="minorEastAsia"/>
                <w:color w:val="000000"/>
                <w:lang w:val="zh-CN"/>
              </w:rPr>
              <w:t>对按照《四川省政府采购当事人诚信管理办法》（川财采</w:t>
            </w:r>
            <w:r>
              <w:rPr>
                <w:rFonts w:asciiTheme="minorEastAsia" w:hAnsiTheme="minorEastAsia" w:eastAsiaTheme="minorEastAsia"/>
                <w:color w:val="000000"/>
                <w:lang w:val="zh-CN"/>
              </w:rPr>
              <w:t>[2015]33</w:t>
            </w:r>
            <w:r>
              <w:rPr>
                <w:rFonts w:hint="eastAsia" w:asciiTheme="minorEastAsia" w:hAnsiTheme="minorEastAsia" w:eastAsiaTheme="minorEastAsia"/>
                <w:color w:val="000000"/>
                <w:lang w:val="zh-CN"/>
              </w:rPr>
              <w:t>号）记入诚信档案的且在有效期内的失信供应商，在参加采购活动中实行直接从总分中扣除</w:t>
            </w:r>
            <w:r>
              <w:rPr>
                <w:rFonts w:asciiTheme="minorEastAsia" w:hAnsiTheme="minorEastAsia" w:eastAsiaTheme="minorEastAsia"/>
                <w:color w:val="000000"/>
                <w:lang w:val="zh-CN"/>
              </w:rPr>
              <w:t>5</w:t>
            </w:r>
            <w:r>
              <w:rPr>
                <w:rFonts w:hint="eastAsia" w:asciiTheme="minorEastAsia" w:hAnsiTheme="minorEastAsia" w:eastAsiaTheme="minorEastAsia"/>
                <w:color w:val="000000"/>
                <w:lang w:val="zh-CN"/>
              </w:rPr>
              <w:t>分，且供应商失信行为惩戒实行无限制累加制，直至总分扣完为止。</w:t>
            </w:r>
          </w:p>
          <w:p>
            <w:pPr>
              <w:pStyle w:val="55"/>
              <w:jc w:val="both"/>
              <w:rPr>
                <w:rFonts w:asciiTheme="minorEastAsia" w:hAnsiTheme="minorEastAsia" w:eastAsiaTheme="minorEastAsia"/>
                <w:lang w:val="zh-CN"/>
              </w:rPr>
            </w:pPr>
            <w:r>
              <w:rPr>
                <w:rFonts w:asciiTheme="minorEastAsia" w:hAnsiTheme="minorEastAsia" w:eastAsiaTheme="minorEastAsia"/>
                <w:color w:val="000000"/>
                <w:lang w:val="zh-CN"/>
              </w:rPr>
              <w:t>2.</w:t>
            </w:r>
            <w:r>
              <w:rPr>
                <w:rFonts w:hint="eastAsia" w:asciiTheme="minorEastAsia" w:hAnsiTheme="minorEastAsia" w:eastAsiaTheme="minorEastAsia"/>
                <w:color w:val="000000"/>
                <w:lang w:val="zh-CN"/>
              </w:rPr>
              <w:t>供应商参加采购活动时，应当就自己的诚信情况在投标文件中进行承诺。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5"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7</w:t>
            </w:r>
          </w:p>
        </w:tc>
        <w:tc>
          <w:tcPr>
            <w:tcW w:w="2552" w:type="dxa"/>
            <w:vAlign w:val="center"/>
          </w:tcPr>
          <w:p>
            <w:pPr>
              <w:autoSpaceDE w:val="0"/>
              <w:autoSpaceDN w:val="0"/>
              <w:adjustRightInd w:val="0"/>
              <w:jc w:val="left"/>
              <w:rPr>
                <w:rFonts w:ascii="宋体" w:hAnsi="宋体" w:cs="宋体"/>
                <w:sz w:val="24"/>
              </w:rPr>
            </w:pPr>
            <w:r>
              <w:rPr>
                <w:rFonts w:hint="eastAsia" w:ascii="宋体" w:hAnsi="宋体" w:cs="宋体"/>
                <w:sz w:val="24"/>
              </w:rPr>
              <w:t>支持不发达地区和少数民族地区政府采购政策</w:t>
            </w:r>
          </w:p>
        </w:tc>
        <w:tc>
          <w:tcPr>
            <w:tcW w:w="6111" w:type="dxa"/>
            <w:vAlign w:val="center"/>
          </w:tcPr>
          <w:p>
            <w:pPr>
              <w:autoSpaceDE w:val="0"/>
              <w:autoSpaceDN w:val="0"/>
              <w:adjustRightInd w:val="0"/>
              <w:jc w:val="left"/>
              <w:rPr>
                <w:rFonts w:ascii="宋体" w:hAnsi="宋体" w:cs="宋体"/>
                <w:sz w:val="24"/>
              </w:rPr>
            </w:pPr>
            <w:r>
              <w:rPr>
                <w:rFonts w:hint="eastAsia" w:ascii="宋体" w:hAnsi="宋体" w:cs="宋体"/>
                <w:sz w:val="24"/>
              </w:rPr>
              <w:t>经评审后得分相同的，优先推荐不发达地区或少数民族地区的供应商作为成交候选供应商。（供应商应自行声明并载明在响应文件其它部分中）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6"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8</w:t>
            </w:r>
          </w:p>
        </w:tc>
        <w:tc>
          <w:tcPr>
            <w:tcW w:w="2552" w:type="dxa"/>
            <w:vAlign w:val="center"/>
          </w:tcPr>
          <w:p>
            <w:pPr>
              <w:autoSpaceDE w:val="0"/>
              <w:autoSpaceDN w:val="0"/>
              <w:adjustRightInd w:val="0"/>
              <w:ind w:left="105" w:leftChars="50" w:right="105" w:rightChars="50"/>
              <w:jc w:val="center"/>
              <w:rPr>
                <w:rFonts w:ascii="宋体" w:hAnsi="宋体" w:cs="宋体"/>
                <w:sz w:val="24"/>
                <w:lang w:val="zh-CN"/>
              </w:rPr>
            </w:pPr>
            <w:r>
              <w:rPr>
                <w:rFonts w:hint="eastAsia" w:ascii="宋体" w:hAnsi="宋体" w:cs="宋体"/>
                <w:sz w:val="24"/>
              </w:rPr>
              <w:t>是否专门面向中小企业的项目或专门面向小微企业采购的项目</w:t>
            </w:r>
          </w:p>
        </w:tc>
        <w:tc>
          <w:tcPr>
            <w:tcW w:w="6111" w:type="dxa"/>
            <w:vAlign w:val="center"/>
          </w:tcPr>
          <w:p>
            <w:pPr>
              <w:autoSpaceDE w:val="0"/>
              <w:autoSpaceDN w:val="0"/>
              <w:adjustRightInd w:val="0"/>
              <w:ind w:left="105" w:leftChars="50" w:right="105" w:rightChars="50"/>
              <w:rPr>
                <w:rFonts w:ascii="宋体" w:hAnsi="宋体" w:cs="宋体"/>
                <w:sz w:val="24"/>
                <w:lang w:val="zh-CN"/>
              </w:rPr>
            </w:pPr>
            <w:r>
              <w:rPr>
                <w:rFonts w:hint="eastAsia" w:ascii="宋体" w:hAnsi="宋体" w:cs="宋体"/>
                <w:spacing w:val="1"/>
                <w:kern w:val="0"/>
                <w:sz w:val="24"/>
              </w:rPr>
              <w:t>本项目为非专门面向中小企业采购的项目，非专门面向小微企业采购的项目，非专门面向监狱企业采购的项目。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9</w:t>
            </w:r>
          </w:p>
        </w:tc>
        <w:tc>
          <w:tcPr>
            <w:tcW w:w="2552" w:type="dxa"/>
            <w:vAlign w:val="center"/>
          </w:tcPr>
          <w:p>
            <w:pPr>
              <w:pStyle w:val="55"/>
              <w:ind w:left="96"/>
              <w:jc w:val="center"/>
              <w:rPr>
                <w:rFonts w:asciiTheme="minorEastAsia" w:hAnsiTheme="minorEastAsia" w:eastAsiaTheme="minorEastAsia"/>
                <w:lang w:val="zh-CN"/>
              </w:rPr>
            </w:pPr>
            <w:r>
              <w:rPr>
                <w:rFonts w:hint="eastAsia" w:asciiTheme="minorEastAsia" w:hAnsiTheme="minorEastAsia" w:eastAsiaTheme="minorEastAsia"/>
                <w:lang w:val="zh-CN"/>
              </w:rPr>
              <w:t>投标保证金</w:t>
            </w:r>
          </w:p>
        </w:tc>
        <w:tc>
          <w:tcPr>
            <w:tcW w:w="6111" w:type="dxa"/>
            <w:vAlign w:val="center"/>
          </w:tcPr>
          <w:p>
            <w:pPr>
              <w:pStyle w:val="55"/>
              <w:jc w:val="both"/>
              <w:rPr>
                <w:rFonts w:asciiTheme="minorEastAsia" w:hAnsiTheme="minorEastAsia" w:eastAsiaTheme="minorEastAsia"/>
                <w:lang w:val="zh-CN"/>
              </w:rPr>
            </w:pPr>
            <w:r>
              <w:rPr>
                <w:rFonts w:hint="eastAsia"/>
                <w:szCs w:val="21"/>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10</w:t>
            </w:r>
          </w:p>
        </w:tc>
        <w:tc>
          <w:tcPr>
            <w:tcW w:w="2552" w:type="dxa"/>
            <w:vAlign w:val="center"/>
          </w:tcPr>
          <w:p>
            <w:pPr>
              <w:pStyle w:val="55"/>
              <w:ind w:left="96"/>
              <w:jc w:val="center"/>
              <w:rPr>
                <w:rFonts w:asciiTheme="minorEastAsia" w:hAnsiTheme="minorEastAsia" w:eastAsiaTheme="minorEastAsia"/>
                <w:lang w:val="zh-CN"/>
              </w:rPr>
            </w:pPr>
            <w:r>
              <w:rPr>
                <w:rFonts w:hint="eastAsia" w:asciiTheme="minorEastAsia" w:hAnsiTheme="minorEastAsia" w:eastAsiaTheme="minorEastAsia"/>
                <w:lang w:val="zh-CN"/>
              </w:rPr>
              <w:t>履约保证金</w:t>
            </w:r>
          </w:p>
        </w:tc>
        <w:tc>
          <w:tcPr>
            <w:tcW w:w="6111" w:type="dxa"/>
            <w:vAlign w:val="center"/>
          </w:tcPr>
          <w:p>
            <w:pPr>
              <w:pStyle w:val="55"/>
              <w:ind w:left="65" w:leftChars="31"/>
              <w:rPr>
                <w:rFonts w:asciiTheme="minorEastAsia" w:hAnsiTheme="minorEastAsia" w:eastAsiaTheme="minorEastAsia"/>
                <w:lang w:val="zh-CN"/>
              </w:rPr>
            </w:pPr>
            <w:r>
              <w:rPr>
                <w:rFonts w:hint="eastAsia" w:asciiTheme="minorEastAsia" w:hAnsiTheme="minorEastAsia" w:eastAsiaTheme="minorEastAsia"/>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838" w:type="dxa"/>
            <w:tcBorders>
              <w:top w:val="single" w:color="auto" w:sz="4" w:space="0"/>
              <w:bottom w:val="single" w:color="auto" w:sz="4" w:space="0"/>
            </w:tcBorders>
            <w:vAlign w:val="center"/>
          </w:tcPr>
          <w:p>
            <w:pPr>
              <w:pStyle w:val="55"/>
              <w:ind w:right="264"/>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11</w:t>
            </w:r>
          </w:p>
        </w:tc>
        <w:tc>
          <w:tcPr>
            <w:tcW w:w="2552" w:type="dxa"/>
            <w:tcBorders>
              <w:top w:val="single" w:color="auto" w:sz="4" w:space="0"/>
              <w:bottom w:val="single" w:color="auto" w:sz="4" w:space="0"/>
            </w:tcBorders>
            <w:vAlign w:val="center"/>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采购文件咨询</w:t>
            </w:r>
          </w:p>
        </w:tc>
        <w:tc>
          <w:tcPr>
            <w:tcW w:w="6111" w:type="dxa"/>
            <w:tcBorders>
              <w:top w:val="single" w:color="auto" w:sz="4" w:space="0"/>
              <w:bottom w:val="single" w:color="auto" w:sz="4" w:space="0"/>
            </w:tcBorders>
          </w:tcPr>
          <w:p>
            <w:pPr>
              <w:spacing w:line="340" w:lineRule="exact"/>
              <w:ind w:right="105" w:rightChars="50"/>
              <w:rPr>
                <w:rFonts w:asciiTheme="minorEastAsia" w:hAnsiTheme="minorEastAsia" w:eastAsiaTheme="minorEastAsia"/>
                <w:sz w:val="24"/>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zh-CN"/>
              </w:rPr>
              <w:t>张先生。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838" w:type="dxa"/>
            <w:tcBorders>
              <w:top w:val="single" w:color="auto" w:sz="4" w:space="0"/>
              <w:bottom w:val="single" w:color="auto" w:sz="4" w:space="0"/>
            </w:tcBorders>
            <w:vAlign w:val="center"/>
          </w:tcPr>
          <w:p>
            <w:pPr>
              <w:pStyle w:val="55"/>
              <w:ind w:right="264"/>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12</w:t>
            </w:r>
          </w:p>
        </w:tc>
        <w:tc>
          <w:tcPr>
            <w:tcW w:w="2552" w:type="dxa"/>
            <w:tcBorders>
              <w:top w:val="single" w:color="auto" w:sz="4" w:space="0"/>
              <w:bottom w:val="single" w:color="auto" w:sz="4" w:space="0"/>
            </w:tcBorders>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开标、评标工作咨询</w:t>
            </w:r>
          </w:p>
        </w:tc>
        <w:tc>
          <w:tcPr>
            <w:tcW w:w="6111" w:type="dxa"/>
            <w:tcBorders>
              <w:top w:val="single" w:color="auto" w:sz="4" w:space="0"/>
              <w:bottom w:val="single" w:color="auto" w:sz="4" w:space="0"/>
            </w:tcBorders>
          </w:tcPr>
          <w:p>
            <w:pPr>
              <w:spacing w:line="340" w:lineRule="exact"/>
              <w:ind w:right="105" w:rightChars="50"/>
              <w:rPr>
                <w:rFonts w:asciiTheme="minorEastAsia" w:hAnsiTheme="minorEastAsia" w:eastAsiaTheme="minorEastAsia"/>
                <w:sz w:val="24"/>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zh-CN"/>
              </w:rPr>
              <w:t>张先生。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838" w:type="dxa"/>
            <w:tcBorders>
              <w:top w:val="single" w:color="auto" w:sz="4" w:space="0"/>
            </w:tcBorders>
            <w:vAlign w:val="center"/>
          </w:tcPr>
          <w:p>
            <w:pPr>
              <w:pStyle w:val="55"/>
              <w:spacing w:before="72" w:after="72"/>
              <w:ind w:right="264"/>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13</w:t>
            </w:r>
          </w:p>
        </w:tc>
        <w:tc>
          <w:tcPr>
            <w:tcW w:w="2552" w:type="dxa"/>
            <w:tcBorders>
              <w:top w:val="single" w:color="auto" w:sz="4" w:space="0"/>
            </w:tcBorders>
            <w:vAlign w:val="center"/>
          </w:tcPr>
          <w:p>
            <w:pPr>
              <w:spacing w:line="340" w:lineRule="exact"/>
              <w:ind w:left="105" w:leftChars="50" w:right="105" w:rightChars="50"/>
              <w:jc w:val="center"/>
              <w:rPr>
                <w:rFonts w:asciiTheme="minorEastAsia" w:hAnsiTheme="minorEastAsia" w:eastAsiaTheme="minorEastAsia"/>
                <w:sz w:val="24"/>
              </w:rPr>
            </w:pPr>
            <w:r>
              <w:rPr>
                <w:rFonts w:hint="eastAsia" w:asciiTheme="minorEastAsia" w:hAnsiTheme="minorEastAsia" w:eastAsiaTheme="minorEastAsia"/>
                <w:sz w:val="24"/>
              </w:rPr>
              <w:t>中标通知书领取</w:t>
            </w:r>
          </w:p>
        </w:tc>
        <w:tc>
          <w:tcPr>
            <w:tcW w:w="6111" w:type="dxa"/>
            <w:tcBorders>
              <w:top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中标公告在广汉市人民医院官网上公告后，请中标供应商凭有效身份证明证件到</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rPr>
              <w:t>领取中标通知书。</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联系人：张先生。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p>
            <w:pPr>
              <w:rPr>
                <w:rFonts w:asciiTheme="minorEastAsia" w:hAnsiTheme="minorEastAsia" w:eastAsiaTheme="minorEastAsia"/>
                <w:sz w:val="24"/>
                <w:lang w:val="zh-CN"/>
              </w:rPr>
            </w:pPr>
            <w:r>
              <w:rPr>
                <w:rFonts w:hint="eastAsia" w:cs="宋体" w:asciiTheme="minorEastAsia" w:hAnsiTheme="minorEastAsia" w:eastAsiaTheme="minorEastAsia"/>
                <w:sz w:val="24"/>
                <w:lang w:val="zh-CN"/>
              </w:rPr>
              <w:t>地址：德阳市旌阳区天元镇天元路</w:t>
            </w:r>
            <w:r>
              <w:rPr>
                <w:rFonts w:cs="宋体" w:asciiTheme="minorEastAsia" w:hAnsiTheme="minorEastAsia" w:eastAsiaTheme="minorEastAsia"/>
                <w:sz w:val="24"/>
                <w:lang w:val="zh-CN"/>
              </w:rPr>
              <w:t>23</w:t>
            </w:r>
            <w:r>
              <w:rPr>
                <w:rFonts w:hint="eastAsia" w:cs="宋体" w:asciiTheme="minorEastAsia" w:hAnsiTheme="minorEastAsia" w:eastAsiaTheme="minorEastAsia"/>
                <w:sz w:val="24"/>
                <w:lang w:val="zh-CN"/>
              </w:rPr>
              <w:t>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3" w:hRule="atLeast"/>
          <w:jc w:val="center"/>
        </w:trPr>
        <w:tc>
          <w:tcPr>
            <w:tcW w:w="838" w:type="dxa"/>
            <w:tcBorders>
              <w:top w:val="single" w:color="auto" w:sz="4" w:space="0"/>
            </w:tcBorders>
            <w:vAlign w:val="center"/>
          </w:tcPr>
          <w:p>
            <w:pPr>
              <w:pStyle w:val="55"/>
              <w:ind w:right="264"/>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13</w:t>
            </w:r>
          </w:p>
        </w:tc>
        <w:tc>
          <w:tcPr>
            <w:tcW w:w="2552" w:type="dxa"/>
            <w:tcBorders>
              <w:top w:val="single" w:color="auto" w:sz="4" w:space="0"/>
            </w:tcBorders>
            <w:vAlign w:val="center"/>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供应商询问</w:t>
            </w:r>
          </w:p>
        </w:tc>
        <w:tc>
          <w:tcPr>
            <w:tcW w:w="6111" w:type="dxa"/>
            <w:tcBorders>
              <w:top w:val="single" w:color="auto" w:sz="4" w:space="0"/>
            </w:tcBorders>
          </w:tcPr>
          <w:p>
            <w:pPr>
              <w:rPr>
                <w:rFonts w:asciiTheme="minorEastAsia" w:hAnsiTheme="minorEastAsia" w:eastAsiaTheme="minorEastAsia"/>
                <w:sz w:val="24"/>
                <w:lang w:val="zh-CN"/>
              </w:rPr>
            </w:pPr>
            <w:r>
              <w:rPr>
                <w:rFonts w:hint="eastAsia" w:asciiTheme="minorEastAsia" w:hAnsiTheme="minorEastAsia" w:eastAsiaTheme="minorEastAsia"/>
                <w:sz w:val="24"/>
              </w:rPr>
              <w:t>根据委托代理协议约定，供应商询问由</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lang w:val="zh-CN"/>
              </w:rPr>
              <w:t>负责答复。</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联系人：张先生。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p>
            <w:pPr>
              <w:rPr>
                <w:rFonts w:asciiTheme="minorEastAsia" w:hAnsiTheme="minorEastAsia" w:eastAsiaTheme="minorEastAsia"/>
                <w:sz w:val="24"/>
              </w:rPr>
            </w:pPr>
            <w:r>
              <w:rPr>
                <w:rFonts w:hint="eastAsia" w:cs="宋体" w:asciiTheme="minorEastAsia" w:hAnsiTheme="minorEastAsia" w:eastAsiaTheme="minorEastAsia"/>
                <w:sz w:val="24"/>
                <w:lang w:val="zh-CN"/>
              </w:rPr>
              <w:t>地址：德阳市旌阳区天元镇天元路</w:t>
            </w:r>
            <w:r>
              <w:rPr>
                <w:rFonts w:cs="宋体" w:asciiTheme="minorEastAsia" w:hAnsiTheme="minorEastAsia" w:eastAsiaTheme="minorEastAsia"/>
                <w:sz w:val="24"/>
                <w:lang w:val="zh-CN"/>
              </w:rPr>
              <w:t>23</w:t>
            </w:r>
            <w:r>
              <w:rPr>
                <w:rFonts w:hint="eastAsia" w:cs="宋体" w:asciiTheme="minorEastAsia" w:hAnsiTheme="minorEastAsia" w:eastAsiaTheme="minorEastAsia"/>
                <w:sz w:val="24"/>
                <w:lang w:val="zh-CN"/>
              </w:rPr>
              <w:t>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29" w:hRule="atLeast"/>
          <w:jc w:val="center"/>
        </w:trPr>
        <w:tc>
          <w:tcPr>
            <w:tcW w:w="838" w:type="dxa"/>
            <w:vAlign w:val="center"/>
          </w:tcPr>
          <w:p>
            <w:pPr>
              <w:spacing w:line="340" w:lineRule="exact"/>
              <w:ind w:right="105" w:right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2552" w:type="dxa"/>
            <w:vAlign w:val="center"/>
          </w:tcPr>
          <w:p>
            <w:pPr>
              <w:pStyle w:val="55"/>
              <w:spacing w:line="360" w:lineRule="auto"/>
              <w:ind w:left="155" w:leftChars="74" w:firstLine="64" w:firstLineChars="27"/>
              <w:jc w:val="center"/>
              <w:rPr>
                <w:rFonts w:cs="Times New Roman" w:asciiTheme="minorEastAsia" w:hAnsiTheme="minorEastAsia" w:eastAsiaTheme="minorEastAsia"/>
                <w:szCs w:val="28"/>
                <w:lang w:val="zh-CN"/>
              </w:rPr>
            </w:pPr>
            <w:r>
              <w:rPr>
                <w:rFonts w:hint="eastAsia" w:cs="仿宋" w:asciiTheme="minorEastAsia" w:hAnsiTheme="minorEastAsia" w:eastAsiaTheme="minorEastAsia"/>
                <w:szCs w:val="28"/>
                <w:lang w:val="zh-CN"/>
              </w:rPr>
              <w:t>声明承诺提醒</w:t>
            </w:r>
          </w:p>
        </w:tc>
        <w:tc>
          <w:tcPr>
            <w:tcW w:w="6111" w:type="dxa"/>
            <w:vAlign w:val="center"/>
          </w:tcPr>
          <w:p>
            <w:pPr>
              <w:pStyle w:val="55"/>
              <w:spacing w:line="360" w:lineRule="auto"/>
              <w:ind w:left="155" w:leftChars="74" w:firstLine="64" w:firstLineChars="27"/>
              <w:jc w:val="both"/>
              <w:rPr>
                <w:rFonts w:cs="Times New Roman" w:asciiTheme="minorEastAsia" w:hAnsiTheme="minorEastAsia" w:eastAsiaTheme="minorEastAsia"/>
                <w:szCs w:val="28"/>
                <w:lang w:val="zh-CN"/>
              </w:rPr>
            </w:pPr>
            <w:r>
              <w:rPr>
                <w:rFonts w:hint="eastAsia" w:cs="仿宋" w:asciiTheme="minorEastAsia" w:hAnsiTheme="minorEastAsia" w:eastAsiaTheme="minorEastAsia"/>
                <w:szCs w:val="28"/>
                <w:lang w:val="zh-CN"/>
              </w:rPr>
              <w:t>供应商投标文件中提供的各种声明和承诺应当真实有效，无效声明和承诺、虚假声明和承诺将由供应商自己承担由此带来的任何不利后果，虚假声明和承诺还将报告监管部门追究法律责任。</w:t>
            </w:r>
          </w:p>
        </w:tc>
      </w:tr>
    </w:tbl>
    <w:p>
      <w:pPr>
        <w:spacing w:before="260" w:after="260" w:line="400" w:lineRule="exact"/>
        <w:jc w:val="center"/>
        <w:rPr>
          <w:rFonts w:cs="黑体" w:asciiTheme="minorEastAsia" w:hAnsiTheme="minorEastAsia" w:eastAsiaTheme="minorEastAsia"/>
          <w:b/>
          <w:bCs/>
          <w:sz w:val="32"/>
          <w:szCs w:val="32"/>
        </w:rPr>
      </w:pPr>
      <w:bookmarkStart w:id="13" w:name="_Toc7081"/>
      <w:bookmarkStart w:id="14" w:name="_Toc2878"/>
      <w:r>
        <w:rPr>
          <w:rFonts w:hint="eastAsia" w:cs="黑体" w:asciiTheme="minorEastAsia" w:hAnsiTheme="minorEastAsia" w:eastAsiaTheme="minorEastAsia"/>
          <w:b/>
          <w:bCs/>
          <w:sz w:val="32"/>
          <w:szCs w:val="32"/>
        </w:rPr>
        <w:t>二、总</w:t>
      </w:r>
      <w:r>
        <w:rPr>
          <w:rFonts w:cs="黑体" w:asciiTheme="minorEastAsia" w:hAnsiTheme="minorEastAsia" w:eastAsiaTheme="minorEastAsia"/>
          <w:b/>
          <w:bCs/>
          <w:sz w:val="32"/>
          <w:szCs w:val="32"/>
        </w:rPr>
        <w:t xml:space="preserve">  </w:t>
      </w:r>
      <w:r>
        <w:rPr>
          <w:rFonts w:hint="eastAsia" w:cs="黑体" w:asciiTheme="minorEastAsia" w:hAnsiTheme="minorEastAsia" w:eastAsiaTheme="minorEastAsia"/>
          <w:b/>
          <w:bCs/>
          <w:sz w:val="32"/>
          <w:szCs w:val="32"/>
        </w:rPr>
        <w:t>则</w:t>
      </w:r>
      <w:bookmarkEnd w:id="13"/>
      <w:bookmarkEnd w:id="14"/>
    </w:p>
    <w:p>
      <w:pPr>
        <w:spacing w:before="260" w:after="260" w:line="400" w:lineRule="exact"/>
        <w:ind w:firstLine="482" w:firstLineChars="200"/>
        <w:rPr>
          <w:rFonts w:cs="宋体" w:asciiTheme="minorEastAsia" w:hAnsiTheme="minorEastAsia" w:eastAsiaTheme="minorEastAsia"/>
          <w:b/>
          <w:bCs/>
          <w:sz w:val="24"/>
        </w:rPr>
      </w:pPr>
      <w:bookmarkStart w:id="15" w:name="_Toc183682342"/>
      <w:bookmarkStart w:id="16" w:name="_Toc183582205"/>
      <w:bookmarkStart w:id="17" w:name="_Toc8483"/>
      <w:bookmarkStart w:id="18" w:name="_Toc342"/>
      <w:bookmarkStart w:id="19" w:name="_Toc217446034"/>
      <w:r>
        <w:rPr>
          <w:rFonts w:cs="宋体" w:asciiTheme="minorEastAsia" w:hAnsiTheme="minorEastAsia" w:eastAsiaTheme="minorEastAsia"/>
          <w:b/>
          <w:bCs/>
          <w:sz w:val="24"/>
        </w:rPr>
        <w:t>1.</w:t>
      </w:r>
      <w:bookmarkEnd w:id="15"/>
      <w:bookmarkEnd w:id="16"/>
      <w:r>
        <w:rPr>
          <w:rFonts w:cs="宋体" w:asciiTheme="minorEastAsia" w:hAnsiTheme="minorEastAsia" w:eastAsiaTheme="minorEastAsia"/>
          <w:b/>
          <w:bCs/>
          <w:sz w:val="24"/>
        </w:rPr>
        <w:t xml:space="preserve"> </w:t>
      </w:r>
      <w:r>
        <w:rPr>
          <w:rFonts w:hint="eastAsia" w:cs="宋体" w:asciiTheme="minorEastAsia" w:hAnsiTheme="minorEastAsia" w:eastAsiaTheme="minorEastAsia"/>
          <w:b/>
          <w:bCs/>
          <w:sz w:val="24"/>
        </w:rPr>
        <w:t>适用范围</w:t>
      </w:r>
      <w:bookmarkEnd w:id="17"/>
      <w:bookmarkEnd w:id="18"/>
      <w:bookmarkEnd w:id="19"/>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  本招标文件仅适用于本次招标采购项目。</w:t>
      </w:r>
    </w:p>
    <w:p>
      <w:pPr>
        <w:spacing w:before="260" w:after="260" w:line="400" w:lineRule="exact"/>
        <w:ind w:firstLine="482" w:firstLineChars="200"/>
        <w:rPr>
          <w:rFonts w:cs="宋体" w:asciiTheme="minorEastAsia" w:hAnsiTheme="minorEastAsia" w:eastAsiaTheme="minorEastAsia"/>
          <w:b/>
          <w:bCs/>
          <w:sz w:val="24"/>
        </w:rPr>
      </w:pPr>
      <w:bookmarkStart w:id="20" w:name="_Toc22001"/>
      <w:bookmarkStart w:id="21" w:name="_Toc25299"/>
      <w:bookmarkStart w:id="22" w:name="_Toc217446035"/>
      <w:r>
        <w:rPr>
          <w:rFonts w:hint="eastAsia" w:cs="宋体" w:asciiTheme="minorEastAsia" w:hAnsiTheme="minorEastAsia" w:eastAsiaTheme="minorEastAsia"/>
          <w:b/>
          <w:bCs/>
          <w:sz w:val="24"/>
        </w:rPr>
        <w:t>2.有关定义</w:t>
      </w:r>
      <w:bookmarkEnd w:id="20"/>
      <w:bookmarkEnd w:id="21"/>
      <w:bookmarkEnd w:id="22"/>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 </w:t>
      </w:r>
      <w:r>
        <w:rPr>
          <w:rFonts w:hint="eastAsia" w:asciiTheme="minorEastAsia" w:hAnsiTheme="minorEastAsia" w:eastAsiaTheme="minorEastAsia"/>
          <w:sz w:val="24"/>
        </w:rPr>
        <w:t>“采购人”系指依法进行采购的国家机关、事业单位、团体组织。本次招标的采购人是</w:t>
      </w:r>
      <w:r>
        <w:rPr>
          <w:rFonts w:hint="eastAsia" w:cs="宋体" w:asciiTheme="minorEastAsia" w:hAnsiTheme="minorEastAsia" w:eastAsiaTheme="minorEastAsia"/>
          <w:kern w:val="0"/>
          <w:sz w:val="24"/>
        </w:rPr>
        <w:t>广汉市人民医院</w:t>
      </w:r>
      <w:r>
        <w:rPr>
          <w:rFonts w:hint="eastAsia" w:asciiTheme="minorEastAsia" w:hAnsiTheme="minorEastAsia" w:eastAsiaTheme="minorEastAsia"/>
          <w:sz w:val="24"/>
        </w:rPr>
        <w:t>。</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 </w:t>
      </w:r>
      <w:r>
        <w:rPr>
          <w:rFonts w:hint="eastAsia" w:asciiTheme="minorEastAsia" w:hAnsiTheme="minorEastAsia" w:eastAsiaTheme="minorEastAsia"/>
          <w:sz w:val="24"/>
        </w:rPr>
        <w:t>“采购代理机构”</w:t>
      </w:r>
      <w:r>
        <w:rPr>
          <w:rFonts w:asciiTheme="minorEastAsia" w:hAnsiTheme="minorEastAsia" w:eastAsiaTheme="minorEastAsia"/>
          <w:sz w:val="24"/>
        </w:rPr>
        <w:t xml:space="preserve"> </w:t>
      </w:r>
      <w:r>
        <w:rPr>
          <w:rFonts w:hint="eastAsia" w:asciiTheme="minorEastAsia" w:hAnsiTheme="minorEastAsia" w:eastAsiaTheme="minorEastAsia"/>
          <w:sz w:val="24"/>
        </w:rPr>
        <w:t>系指根据采购人的委托依法办理招标事宜的采购机构。本次招标的采购代理机构是</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rPr>
        <w:t>。</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 </w:t>
      </w:r>
      <w:r>
        <w:rPr>
          <w:rFonts w:hint="eastAsia" w:asciiTheme="minorEastAsia" w:hAnsiTheme="minorEastAsia" w:eastAsiaTheme="minorEastAsia"/>
          <w:sz w:val="24"/>
        </w:rPr>
        <w:t>“招标采购单位”系指“采购人”和“采购代理机构”的统称。</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 </w:t>
      </w:r>
      <w:r>
        <w:rPr>
          <w:rFonts w:hint="eastAsia" w:asciiTheme="minorEastAsia" w:hAnsiTheme="minorEastAsia" w:eastAsiaTheme="minorEastAsia"/>
          <w:sz w:val="24"/>
        </w:rPr>
        <w:t>“投标人”系指购买了招标文件拟参加投标和向采购人提供货物及相应服务的供应商。</w:t>
      </w:r>
    </w:p>
    <w:p>
      <w:pPr>
        <w:spacing w:before="260" w:after="260" w:line="400" w:lineRule="exact"/>
        <w:ind w:firstLine="482" w:firstLineChars="200"/>
        <w:rPr>
          <w:rFonts w:cs="宋体" w:asciiTheme="minorEastAsia" w:hAnsiTheme="minorEastAsia" w:eastAsiaTheme="minorEastAsia"/>
          <w:b/>
          <w:bCs/>
          <w:sz w:val="24"/>
        </w:rPr>
      </w:pPr>
      <w:bookmarkStart w:id="23" w:name="_Toc217446036"/>
      <w:bookmarkStart w:id="24" w:name="_Toc183682344"/>
      <w:bookmarkStart w:id="25" w:name="_Toc183582207"/>
      <w:bookmarkStart w:id="26" w:name="_Toc217390843"/>
      <w:bookmarkStart w:id="27" w:name="_Toc32411"/>
      <w:bookmarkStart w:id="28" w:name="_Toc20968"/>
      <w:r>
        <w:rPr>
          <w:rFonts w:hint="eastAsia" w:cs="宋体" w:asciiTheme="minorEastAsia" w:hAnsiTheme="minorEastAsia" w:eastAsiaTheme="minorEastAsia"/>
          <w:b/>
          <w:bCs/>
          <w:sz w:val="24"/>
        </w:rPr>
        <w:t>3.合格的投标人</w:t>
      </w:r>
      <w:bookmarkEnd w:id="23"/>
      <w:bookmarkEnd w:id="24"/>
      <w:bookmarkEnd w:id="25"/>
      <w:bookmarkEnd w:id="26"/>
      <w:r>
        <w:rPr>
          <w:rFonts w:hint="eastAsia" w:cs="宋体" w:asciiTheme="minorEastAsia" w:hAnsiTheme="minorEastAsia" w:eastAsiaTheme="minorEastAsia"/>
          <w:b/>
          <w:bCs/>
          <w:sz w:val="24"/>
        </w:rPr>
        <w:t>（实质性要求）</w:t>
      </w:r>
      <w:bookmarkEnd w:id="27"/>
      <w:bookmarkEnd w:id="28"/>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b/>
          <w:sz w:val="24"/>
        </w:rPr>
        <w:t xml:space="preserve">    </w:t>
      </w:r>
      <w:r>
        <w:rPr>
          <w:rFonts w:hint="eastAsia" w:asciiTheme="minorEastAsia" w:hAnsiTheme="minorEastAsia" w:eastAsiaTheme="minorEastAsia"/>
          <w:sz w:val="24"/>
        </w:rPr>
        <w:t>合格的投标人应具备以下条件：</w:t>
      </w:r>
    </w:p>
    <w:p>
      <w:pPr>
        <w:tabs>
          <w:tab w:val="left" w:pos="7665"/>
        </w:tabs>
        <w:spacing w:line="400" w:lineRule="exact"/>
        <w:ind w:firstLine="480" w:firstLineChars="200"/>
        <w:rPr>
          <w:rFonts w:asciiTheme="minorEastAsia" w:hAnsiTheme="minorEastAsia" w:eastAsiaTheme="minorEastAsia"/>
          <w:spacing w:val="-4"/>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）本招标文件规定的供应商资格条件</w:t>
      </w:r>
      <w:r>
        <w:rPr>
          <w:rFonts w:hint="eastAsia" w:asciiTheme="minorEastAsia" w:hAnsiTheme="minorEastAsia" w:eastAsiaTheme="minorEastAsia"/>
          <w:spacing w:val="-4"/>
          <w:sz w:val="24"/>
        </w:rPr>
        <w:t>；</w:t>
      </w:r>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）遵守国家有关的法律、法规、规章和其他政策制度；</w:t>
      </w:r>
    </w:p>
    <w:p>
      <w:pPr>
        <w:numPr>
          <w:ilvl w:val="0"/>
          <w:numId w:val="2"/>
        </w:num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向采购代理机构购买了招标文件。</w:t>
      </w:r>
    </w:p>
    <w:p>
      <w:pPr>
        <w:spacing w:before="260" w:after="260" w:line="400" w:lineRule="exact"/>
        <w:ind w:firstLine="482" w:firstLineChars="200"/>
        <w:rPr>
          <w:rFonts w:cs="宋体" w:asciiTheme="minorEastAsia" w:hAnsiTheme="minorEastAsia" w:eastAsiaTheme="minorEastAsia"/>
          <w:b/>
          <w:bCs/>
          <w:sz w:val="24"/>
        </w:rPr>
      </w:pPr>
      <w:bookmarkStart w:id="29" w:name="_Toc217446037"/>
      <w:bookmarkStart w:id="30" w:name="_Toc183682345"/>
      <w:bookmarkStart w:id="31" w:name="_Toc183582208"/>
      <w:bookmarkStart w:id="32" w:name="_Toc4255"/>
      <w:bookmarkStart w:id="33" w:name="_Toc2032"/>
      <w:r>
        <w:rPr>
          <w:rFonts w:hint="eastAsia" w:cs="宋体" w:asciiTheme="minorEastAsia" w:hAnsiTheme="minorEastAsia" w:eastAsiaTheme="minorEastAsia"/>
          <w:b/>
          <w:bCs/>
          <w:sz w:val="24"/>
        </w:rPr>
        <w:t>4.投标费用</w:t>
      </w:r>
      <w:bookmarkEnd w:id="29"/>
      <w:bookmarkEnd w:id="30"/>
      <w:bookmarkEnd w:id="31"/>
      <w:r>
        <w:rPr>
          <w:rFonts w:hint="eastAsia" w:cs="宋体" w:asciiTheme="minorEastAsia" w:hAnsiTheme="minorEastAsia" w:eastAsiaTheme="minorEastAsia"/>
          <w:b/>
          <w:bCs/>
          <w:sz w:val="24"/>
        </w:rPr>
        <w:t>（实质性要求）</w:t>
      </w:r>
      <w:bookmarkEnd w:id="32"/>
      <w:bookmarkEnd w:id="33"/>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4.1</w:t>
      </w:r>
      <w:r>
        <w:rPr>
          <w:rFonts w:hint="eastAsia" w:asciiTheme="minorEastAsia" w:hAnsiTheme="minorEastAsia" w:eastAsiaTheme="minorEastAsia"/>
          <w:sz w:val="24"/>
        </w:rPr>
        <w:t>供应商参加投标的有关费用由供应商自行承担。</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4.2</w:t>
      </w:r>
      <w:r>
        <w:rPr>
          <w:rFonts w:hint="eastAsia" w:asciiTheme="minorEastAsia" w:hAnsiTheme="minorEastAsia" w:eastAsiaTheme="minorEastAsia"/>
          <w:sz w:val="24"/>
        </w:rPr>
        <w:t>采购代理服务费收取，由每包中标供应商领取中标通知书时支付。（收款单位：四川正通建设项目管理有限公司 ；开 户 行：长城华西银行德阳天元支行；银行账号：1009160000000411）</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4.3</w:t>
      </w:r>
      <w:r>
        <w:rPr>
          <w:rFonts w:hint="eastAsia" w:asciiTheme="minorEastAsia" w:hAnsiTheme="minorEastAsia" w:eastAsiaTheme="minorEastAsia"/>
          <w:sz w:val="24"/>
        </w:rPr>
        <w:t>本项目招标代理服务费为：第十三包：4000元，第十四包：7000元，第十五包：1000元，第十六包：2500元，第十七包：500元，第十八包：2500元，第十九包：4500元，第二十包：6000元，第二十一包：1500元，第二十二包：1000元，第二十三包：1500元，第二十四包：2500元，第二十五包:500元。</w:t>
      </w:r>
    </w:p>
    <w:p>
      <w:pPr>
        <w:spacing w:before="260" w:after="260" w:line="400" w:lineRule="exact"/>
        <w:ind w:firstLine="482" w:firstLineChars="200"/>
        <w:rPr>
          <w:rFonts w:cs="宋体" w:asciiTheme="minorEastAsia" w:hAnsiTheme="minorEastAsia" w:eastAsiaTheme="minorEastAsia"/>
          <w:b/>
          <w:bCs/>
          <w:sz w:val="24"/>
        </w:rPr>
      </w:pPr>
      <w:bookmarkStart w:id="34" w:name="_Toc6231"/>
      <w:bookmarkStart w:id="35" w:name="_Toc7387"/>
      <w:r>
        <w:rPr>
          <w:rFonts w:hint="eastAsia" w:cs="宋体" w:asciiTheme="minorEastAsia" w:hAnsiTheme="minorEastAsia" w:eastAsiaTheme="minorEastAsia"/>
          <w:b/>
          <w:bCs/>
          <w:sz w:val="24"/>
        </w:rPr>
        <w:t>5.充分、公平竞争保障措施（实质性要求）</w:t>
      </w:r>
      <w:bookmarkEnd w:id="34"/>
      <w:bookmarkEnd w:id="35"/>
    </w:p>
    <w:p>
      <w:pPr>
        <w:pStyle w:val="63"/>
        <w:spacing w:line="460" w:lineRule="exact"/>
        <w:ind w:left="1" w:firstLine="482" w:firstLineChars="200"/>
        <w:rPr>
          <w:rFonts w:asciiTheme="minorEastAsia" w:hAnsiTheme="minorEastAsia" w:eastAsiaTheme="minorEastAsia"/>
          <w:sz w:val="24"/>
          <w:szCs w:val="22"/>
        </w:rPr>
      </w:pPr>
      <w:r>
        <w:rPr>
          <w:rFonts w:hint="eastAsia" w:asciiTheme="minorEastAsia" w:hAnsiTheme="minorEastAsia" w:eastAsiaTheme="minorEastAsia"/>
          <w:b/>
          <w:sz w:val="24"/>
        </w:rPr>
        <w:t>5.1 利害关系供应商处理。</w:t>
      </w:r>
      <w:r>
        <w:rPr>
          <w:rFonts w:hint="eastAsia" w:asciiTheme="minorEastAsia" w:hAnsiTheme="minorEastAsia" w:eastAsiaTheme="minorEastAsia"/>
          <w:sz w:val="24"/>
          <w:szCs w:val="22"/>
        </w:rPr>
        <w:t>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投标文件作为无效处理。</w:t>
      </w:r>
    </w:p>
    <w:p>
      <w:pPr>
        <w:pStyle w:val="62"/>
        <w:spacing w:line="400" w:lineRule="exact"/>
        <w:ind w:left="1" w:firstLine="482" w:firstLineChars="20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2前期参与供应商处理。</w:t>
      </w:r>
      <w:r>
        <w:rPr>
          <w:rFonts w:hint="eastAsia" w:asciiTheme="minorEastAsia" w:hAnsiTheme="minorEastAsia" w:eastAsiaTheme="minor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62"/>
        <w:spacing w:line="400" w:lineRule="exact"/>
        <w:ind w:left="1" w:firstLine="482" w:firstLineChars="20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3利害关系代理人处理。</w:t>
      </w:r>
      <w:r>
        <w:rPr>
          <w:rFonts w:asciiTheme="minorEastAsia" w:hAnsiTheme="minorEastAsia" w:eastAsiaTheme="minorEastAsia"/>
          <w:sz w:val="24"/>
        </w:rPr>
        <w:t>2</w:t>
      </w:r>
      <w:r>
        <w:rPr>
          <w:rFonts w:hint="eastAsia" w:asciiTheme="minorEastAsia" w:hAnsiTheme="minorEastAsia" w:eastAsiaTheme="minorEastAsia"/>
          <w:sz w:val="24"/>
        </w:rPr>
        <w:t>家以上的供应商不得在同一合同项下的采购项目中，同时委托同一个自然人、同一家庭的人员、同一单位的人员作为其代理人，否则，其投标文件作为无效处理。</w:t>
      </w:r>
    </w:p>
    <w:p>
      <w:pPr>
        <w:spacing w:before="260" w:after="260" w:line="400" w:lineRule="exact"/>
        <w:jc w:val="center"/>
        <w:rPr>
          <w:rFonts w:asciiTheme="minorEastAsia" w:hAnsiTheme="minorEastAsia" w:eastAsiaTheme="minorEastAsia"/>
        </w:rPr>
      </w:pPr>
      <w:bookmarkStart w:id="36" w:name="_Toc23199"/>
      <w:bookmarkStart w:id="37" w:name="_Toc217446038"/>
      <w:bookmarkStart w:id="38" w:name="_Toc183682346"/>
      <w:bookmarkStart w:id="39" w:name="_Toc183582209"/>
      <w:bookmarkStart w:id="40" w:name="_Toc89075875"/>
      <w:bookmarkStart w:id="41" w:name="_Toc77400779"/>
      <w:bookmarkStart w:id="42" w:name="_Toc15987"/>
      <w:r>
        <w:rPr>
          <w:rFonts w:hint="eastAsia" w:cs="黑体" w:asciiTheme="minorEastAsia" w:hAnsiTheme="minorEastAsia" w:eastAsiaTheme="minorEastAsia"/>
          <w:b/>
          <w:bCs/>
          <w:sz w:val="32"/>
          <w:szCs w:val="32"/>
        </w:rPr>
        <w:t>三、招标文件</w:t>
      </w:r>
      <w:bookmarkEnd w:id="36"/>
      <w:bookmarkEnd w:id="37"/>
      <w:bookmarkEnd w:id="38"/>
      <w:bookmarkEnd w:id="39"/>
      <w:bookmarkEnd w:id="40"/>
      <w:bookmarkEnd w:id="41"/>
      <w:bookmarkEnd w:id="42"/>
    </w:p>
    <w:p>
      <w:pPr>
        <w:spacing w:before="260" w:after="260" w:line="400" w:lineRule="exact"/>
        <w:ind w:firstLine="482" w:firstLineChars="200"/>
        <w:rPr>
          <w:rFonts w:cs="宋体" w:asciiTheme="minorEastAsia" w:hAnsiTheme="minorEastAsia" w:eastAsiaTheme="minorEastAsia"/>
          <w:b/>
          <w:bCs/>
          <w:sz w:val="24"/>
        </w:rPr>
      </w:pPr>
      <w:bookmarkStart w:id="43" w:name="_Toc183682347"/>
      <w:bookmarkStart w:id="44" w:name="_Toc183582210"/>
      <w:bookmarkStart w:id="45" w:name="_Toc217446039"/>
      <w:bookmarkStart w:id="46" w:name="_Toc3904"/>
      <w:bookmarkStart w:id="47" w:name="_Toc26739"/>
      <w:r>
        <w:rPr>
          <w:rFonts w:cs="宋体" w:asciiTheme="minorEastAsia" w:hAnsiTheme="minorEastAsia" w:eastAsiaTheme="minorEastAsia"/>
          <w:b/>
          <w:bCs/>
          <w:sz w:val="24"/>
        </w:rPr>
        <w:t>6</w:t>
      </w:r>
      <w:r>
        <w:rPr>
          <w:rFonts w:hint="eastAsia" w:cs="宋体" w:asciiTheme="minorEastAsia" w:hAnsiTheme="minorEastAsia" w:eastAsiaTheme="minorEastAsia"/>
          <w:b/>
          <w:bCs/>
          <w:sz w:val="24"/>
        </w:rPr>
        <w:t>．招标文件的构成</w:t>
      </w:r>
      <w:bookmarkEnd w:id="43"/>
      <w:bookmarkEnd w:id="44"/>
      <w:bookmarkEnd w:id="45"/>
      <w:bookmarkEnd w:id="46"/>
      <w:bookmarkEnd w:id="47"/>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（一）投标邀请；</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（二）投标人须知；</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（三）投标文件格式；</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（四）投标人和投标产品的资格、资质性及其他类似效力要求；</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（五）投标人应当提供的资格、资质性及其他类似效力要求的相关证明材料；</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（六）招标项目技术、商务及其他要求；</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（七）评标办法；</w:t>
      </w:r>
    </w:p>
    <w:p>
      <w:pPr>
        <w:numPr>
          <w:ilvl w:val="0"/>
          <w:numId w:val="3"/>
        </w:numPr>
        <w:tabs>
          <w:tab w:val="left" w:pos="720"/>
        </w:tabs>
        <w:spacing w:line="400" w:lineRule="exact"/>
        <w:rPr>
          <w:rFonts w:asciiTheme="minorEastAsia" w:hAnsiTheme="minorEastAsia" w:eastAsiaTheme="minorEastAsia"/>
          <w:sz w:val="24"/>
        </w:rPr>
      </w:pPr>
      <w:r>
        <w:rPr>
          <w:rFonts w:hint="eastAsia" w:asciiTheme="minorEastAsia" w:hAnsiTheme="minorEastAsia" w:eastAsiaTheme="minorEastAsia"/>
          <w:sz w:val="24"/>
        </w:rPr>
        <w:t>合同主要条款。</w:t>
      </w:r>
    </w:p>
    <w:p>
      <w:pPr>
        <w:spacing w:before="260" w:after="260" w:line="400" w:lineRule="exact"/>
        <w:ind w:firstLine="482" w:firstLineChars="200"/>
        <w:rPr>
          <w:rFonts w:cs="宋体" w:asciiTheme="minorEastAsia" w:hAnsiTheme="minorEastAsia" w:eastAsiaTheme="minorEastAsia"/>
          <w:b/>
          <w:bCs/>
          <w:sz w:val="24"/>
        </w:rPr>
      </w:pPr>
      <w:bookmarkStart w:id="48" w:name="_Toc183682348"/>
      <w:bookmarkStart w:id="49" w:name="_Toc183582211"/>
      <w:bookmarkStart w:id="50" w:name="_Toc15647"/>
      <w:bookmarkStart w:id="51" w:name="_Toc22790"/>
      <w:bookmarkStart w:id="52" w:name="_Toc217446040"/>
      <w:r>
        <w:rPr>
          <w:rFonts w:hint="eastAsia" w:cs="宋体" w:asciiTheme="minorEastAsia" w:hAnsiTheme="minorEastAsia" w:eastAsiaTheme="minorEastAsia"/>
          <w:b/>
          <w:bCs/>
          <w:sz w:val="24"/>
        </w:rPr>
        <w:t>7.招标文件的澄清</w:t>
      </w:r>
      <w:bookmarkEnd w:id="48"/>
      <w:bookmarkEnd w:id="49"/>
      <w:r>
        <w:rPr>
          <w:rFonts w:hint="eastAsia" w:cs="宋体" w:asciiTheme="minorEastAsia" w:hAnsiTheme="minorEastAsia" w:eastAsiaTheme="minorEastAsia"/>
          <w:b/>
          <w:bCs/>
          <w:sz w:val="24"/>
        </w:rPr>
        <w:t>和修改</w:t>
      </w:r>
      <w:bookmarkEnd w:id="50"/>
      <w:bookmarkEnd w:id="51"/>
      <w:bookmarkEnd w:id="52"/>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7.1</w:t>
      </w:r>
      <w:r>
        <w:rPr>
          <w:rFonts w:hint="eastAsia" w:asciiTheme="minorEastAsia" w:hAnsiTheme="minorEastAsia" w:eastAsiaTheme="minorEastAsia"/>
          <w:sz w:val="24"/>
        </w:rPr>
        <w:t>招标采购单位可以依法对招标文件进行澄清或者修改。</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7.2 </w:t>
      </w:r>
      <w:r>
        <w:rPr>
          <w:rFonts w:hint="eastAsia" w:asciiTheme="minorEastAsia" w:hAnsiTheme="minorEastAsia" w:eastAsiaTheme="minorEastAsia"/>
          <w:sz w:val="24"/>
        </w:rPr>
        <w:t>招标采购单位对已发出的招标文件进行澄清或者修改，应当以书面形式将澄清或者修改的内容通知所有购买了招标文件的供应商，同时在广汉市人民医院官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asciiTheme="minorEastAsia" w:hAnsiTheme="minorEastAsia" w:eastAsiaTheme="minorEastAsia"/>
          <w:sz w:val="24"/>
        </w:rPr>
        <w:t>15</w:t>
      </w:r>
      <w:r>
        <w:rPr>
          <w:rFonts w:hint="eastAsia" w:asciiTheme="minorEastAsia" w:hAnsiTheme="minorEastAsia" w:eastAsiaTheme="minorEastAsia"/>
          <w:sz w:val="24"/>
        </w:rPr>
        <w:t>日前、提交资格预审申请文件截止时间至少</w:t>
      </w:r>
      <w:r>
        <w:rPr>
          <w:rFonts w:asciiTheme="minorEastAsia" w:hAnsiTheme="minorEastAsia" w:eastAsiaTheme="minorEastAsia"/>
          <w:sz w:val="24"/>
        </w:rPr>
        <w:t>3</w:t>
      </w:r>
      <w:r>
        <w:rPr>
          <w:rFonts w:hint="eastAsia" w:asciiTheme="minorEastAsia" w:hAnsiTheme="minorEastAsia" w:eastAsiaTheme="minorEastAsia"/>
          <w:sz w:val="24"/>
        </w:rPr>
        <w:t>日前；不足上述时间的，应当顺延提交投标文件、资格预审申请文件的截止时间。</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7.3 </w:t>
      </w:r>
      <w:r>
        <w:rPr>
          <w:rFonts w:hint="eastAsia" w:asciiTheme="minorEastAsia" w:hAnsiTheme="minorEastAsia" w:eastAsiaTheme="minorEastAsia"/>
          <w:sz w:val="24"/>
        </w:rPr>
        <w:t>投标人认为需要对招标文件进行澄清或者修改的，可以以书面形式向招标采购单位构提出申请，但招标采购单位可以决定是否采纳投标人的申请事项。</w:t>
      </w:r>
    </w:p>
    <w:p>
      <w:pPr>
        <w:spacing w:before="260" w:after="260" w:line="400" w:lineRule="exact"/>
        <w:ind w:firstLine="482" w:firstLineChars="200"/>
        <w:rPr>
          <w:rFonts w:cs="宋体" w:asciiTheme="minorEastAsia" w:hAnsiTheme="minorEastAsia" w:eastAsiaTheme="minorEastAsia"/>
          <w:b/>
          <w:bCs/>
          <w:sz w:val="24"/>
        </w:rPr>
      </w:pPr>
      <w:bookmarkStart w:id="53" w:name="_Toc10950"/>
      <w:bookmarkStart w:id="54" w:name="_Toc217446041"/>
      <w:bookmarkStart w:id="55" w:name="_Toc21932"/>
      <w:bookmarkStart w:id="56" w:name="_Toc208848971"/>
      <w:r>
        <w:rPr>
          <w:rFonts w:hint="eastAsia" w:cs="宋体" w:asciiTheme="minorEastAsia" w:hAnsiTheme="minorEastAsia" w:eastAsiaTheme="minorEastAsia"/>
          <w:b/>
          <w:bCs/>
          <w:sz w:val="24"/>
        </w:rPr>
        <w:t>8.答疑会和现场考察</w:t>
      </w:r>
      <w:bookmarkEnd w:id="53"/>
      <w:bookmarkEnd w:id="54"/>
      <w:bookmarkEnd w:id="55"/>
      <w:bookmarkEnd w:id="56"/>
    </w:p>
    <w:p>
      <w:pPr>
        <w:tabs>
          <w:tab w:val="left" w:pos="7665"/>
        </w:tabs>
        <w:spacing w:line="4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本项目不组织答疑会和现场考察。</w:t>
      </w:r>
    </w:p>
    <w:p>
      <w:pPr>
        <w:numPr>
          <w:ilvl w:val="0"/>
          <w:numId w:val="4"/>
        </w:numPr>
        <w:spacing w:before="260" w:after="260" w:line="400" w:lineRule="exact"/>
        <w:jc w:val="center"/>
        <w:rPr>
          <w:rFonts w:cs="黑体" w:asciiTheme="minorEastAsia" w:hAnsiTheme="minorEastAsia" w:eastAsiaTheme="minorEastAsia"/>
          <w:b/>
          <w:bCs/>
          <w:sz w:val="32"/>
          <w:szCs w:val="32"/>
        </w:rPr>
      </w:pPr>
      <w:bookmarkStart w:id="57" w:name="_Toc15754"/>
      <w:bookmarkStart w:id="58" w:name="_Toc77400780"/>
      <w:bookmarkStart w:id="59" w:name="_Toc183582214"/>
      <w:bookmarkStart w:id="60" w:name="_Toc183682351"/>
      <w:bookmarkStart w:id="61" w:name="_Toc89075876"/>
      <w:bookmarkStart w:id="62" w:name="_Toc217446042"/>
      <w:bookmarkStart w:id="63" w:name="_Toc21819"/>
      <w:r>
        <w:rPr>
          <w:rFonts w:hint="eastAsia" w:cs="黑体" w:asciiTheme="minorEastAsia" w:hAnsiTheme="minorEastAsia" w:eastAsiaTheme="minorEastAsia"/>
          <w:b/>
          <w:bCs/>
          <w:sz w:val="32"/>
          <w:szCs w:val="32"/>
        </w:rPr>
        <w:t>投标文件</w:t>
      </w:r>
      <w:bookmarkEnd w:id="57"/>
      <w:bookmarkEnd w:id="58"/>
      <w:bookmarkEnd w:id="59"/>
      <w:bookmarkEnd w:id="60"/>
      <w:bookmarkEnd w:id="61"/>
      <w:bookmarkEnd w:id="62"/>
      <w:bookmarkEnd w:id="63"/>
    </w:p>
    <w:p>
      <w:pPr>
        <w:spacing w:line="400" w:lineRule="exact"/>
        <w:ind w:firstLine="482" w:firstLineChars="200"/>
        <w:rPr>
          <w:rFonts w:cs="宋体" w:asciiTheme="minorEastAsia" w:hAnsiTheme="minorEastAsia" w:eastAsiaTheme="minorEastAsia"/>
          <w:b/>
          <w:bCs/>
          <w:sz w:val="24"/>
        </w:rPr>
      </w:pPr>
      <w:bookmarkStart w:id="64" w:name="_Toc217446043"/>
      <w:bookmarkStart w:id="65" w:name="_Toc183582215"/>
      <w:bookmarkStart w:id="66" w:name="_Toc183682352"/>
      <w:bookmarkStart w:id="67" w:name="_Toc11224"/>
      <w:bookmarkStart w:id="68" w:name="_Toc21990"/>
      <w:r>
        <w:rPr>
          <w:rFonts w:hint="eastAsia" w:cs="宋体" w:asciiTheme="minorEastAsia" w:hAnsiTheme="minorEastAsia" w:eastAsiaTheme="minorEastAsia"/>
          <w:b/>
          <w:bCs/>
          <w:sz w:val="24"/>
        </w:rPr>
        <w:t>9.投标文件的语言</w:t>
      </w:r>
      <w:bookmarkEnd w:id="64"/>
      <w:bookmarkEnd w:id="65"/>
      <w:bookmarkEnd w:id="66"/>
      <w:r>
        <w:rPr>
          <w:rFonts w:hint="eastAsia" w:cs="宋体" w:asciiTheme="minorEastAsia" w:hAnsiTheme="minorEastAsia" w:eastAsiaTheme="minorEastAsia"/>
          <w:b/>
          <w:bCs/>
          <w:sz w:val="24"/>
        </w:rPr>
        <w:t>（实质性要求）</w:t>
      </w:r>
      <w:bookmarkEnd w:id="67"/>
      <w:bookmarkEnd w:id="68"/>
    </w:p>
    <w:p>
      <w:pPr>
        <w:tabs>
          <w:tab w:val="left" w:pos="1134"/>
        </w:tabs>
        <w:spacing w:line="400" w:lineRule="exact"/>
        <w:ind w:firstLine="480" w:firstLineChars="200"/>
        <w:jc w:val="left"/>
        <w:rPr>
          <w:rFonts w:asciiTheme="minorEastAsia" w:hAnsiTheme="minorEastAsia" w:eastAsiaTheme="minorEastAsia"/>
          <w:sz w:val="24"/>
        </w:rPr>
      </w:pPr>
      <w:bookmarkStart w:id="69" w:name="_Toc183682353"/>
      <w:bookmarkStart w:id="70" w:name="_Toc183582216"/>
      <w:bookmarkStart w:id="71" w:name="_Toc217446044"/>
      <w:r>
        <w:rPr>
          <w:rFonts w:asciiTheme="minorEastAsia" w:hAnsiTheme="minorEastAsia" w:eastAsiaTheme="minorEastAsia"/>
          <w:sz w:val="24"/>
        </w:rPr>
        <w:t xml:space="preserve">9.1 </w:t>
      </w:r>
      <w:r>
        <w:rPr>
          <w:rFonts w:hint="eastAsia" w:asciiTheme="minorEastAsia" w:hAnsiTheme="minorEastAsia" w:eastAsiaTheme="min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 xml:space="preserve">9.2 </w:t>
      </w:r>
      <w:r>
        <w:rPr>
          <w:rFonts w:hint="eastAsia" w:asciiTheme="minorEastAsia" w:hAnsiTheme="minorEastAsia" w:eastAsiaTheme="minorEastAsia"/>
          <w:sz w:val="24"/>
        </w:rPr>
        <w:t>翻译的中文资料与外文资料如果出现差异和矛盾时，以中文为准。涉嫌虚假响应的按照相关法律法规处理。</w:t>
      </w:r>
      <w:r>
        <w:rPr>
          <w:rFonts w:asciiTheme="minorEastAsia" w:hAnsiTheme="minorEastAsia" w:eastAsiaTheme="minorEastAsia"/>
          <w:sz w:val="24"/>
        </w:rPr>
        <w:t xml:space="preserve">  </w:t>
      </w:r>
    </w:p>
    <w:p>
      <w:pPr>
        <w:spacing w:line="400" w:lineRule="exact"/>
        <w:ind w:firstLine="482" w:firstLineChars="200"/>
        <w:rPr>
          <w:rFonts w:cs="宋体" w:asciiTheme="minorEastAsia" w:hAnsiTheme="minorEastAsia" w:eastAsiaTheme="minorEastAsia"/>
          <w:b/>
          <w:bCs/>
          <w:sz w:val="24"/>
        </w:rPr>
      </w:pPr>
      <w:bookmarkStart w:id="72" w:name="_Toc8392"/>
      <w:bookmarkStart w:id="73" w:name="_Toc21844"/>
      <w:r>
        <w:rPr>
          <w:rFonts w:hint="eastAsia" w:cs="宋体" w:asciiTheme="minorEastAsia" w:hAnsiTheme="minorEastAsia" w:eastAsiaTheme="minorEastAsia"/>
          <w:b/>
          <w:bCs/>
          <w:sz w:val="24"/>
        </w:rPr>
        <w:t>10.计量单位</w:t>
      </w:r>
      <w:bookmarkEnd w:id="69"/>
      <w:bookmarkEnd w:id="70"/>
      <w:bookmarkEnd w:id="71"/>
      <w:r>
        <w:rPr>
          <w:rFonts w:hint="eastAsia" w:cs="宋体" w:asciiTheme="minorEastAsia" w:hAnsiTheme="minorEastAsia" w:eastAsiaTheme="minorEastAsia"/>
          <w:b/>
          <w:bCs/>
          <w:sz w:val="24"/>
        </w:rPr>
        <w:t>（实质性要求）</w:t>
      </w:r>
      <w:bookmarkEnd w:id="72"/>
      <w:bookmarkEnd w:id="73"/>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除招标文件中另有规定外，本次采购项目所有合同项下的投标均采用国家法定的计量单位。</w:t>
      </w:r>
      <w:bookmarkStart w:id="74" w:name="_Toc217446045"/>
    </w:p>
    <w:p>
      <w:pPr>
        <w:spacing w:line="400" w:lineRule="exact"/>
        <w:ind w:firstLine="482" w:firstLineChars="200"/>
        <w:rPr>
          <w:rFonts w:asciiTheme="minorEastAsia" w:hAnsiTheme="minorEastAsia" w:eastAsiaTheme="minorEastAsia"/>
          <w:b/>
          <w:sz w:val="24"/>
        </w:rPr>
      </w:pPr>
      <w:bookmarkStart w:id="75" w:name="_Toc2390"/>
      <w:bookmarkStart w:id="76" w:name="_Toc12913"/>
      <w:bookmarkStart w:id="77" w:name="_Toc28046"/>
      <w:r>
        <w:rPr>
          <w:rFonts w:asciiTheme="minorEastAsia" w:hAnsiTheme="minorEastAsia" w:eastAsiaTheme="minorEastAsia"/>
          <w:b/>
          <w:sz w:val="24"/>
        </w:rPr>
        <w:t xml:space="preserve">11. </w:t>
      </w:r>
      <w:r>
        <w:rPr>
          <w:rFonts w:hint="eastAsia" w:asciiTheme="minorEastAsia" w:hAnsiTheme="minorEastAsia" w:eastAsiaTheme="minorEastAsia"/>
          <w:b/>
          <w:sz w:val="24"/>
        </w:rPr>
        <w:t>投标货币</w:t>
      </w:r>
      <w:bookmarkEnd w:id="74"/>
      <w:r>
        <w:rPr>
          <w:rFonts w:hint="eastAsia" w:asciiTheme="minorEastAsia" w:hAnsiTheme="minorEastAsia" w:eastAsiaTheme="minorEastAsia"/>
          <w:b/>
          <w:sz w:val="24"/>
        </w:rPr>
        <w:t>（实质性要求）</w:t>
      </w:r>
      <w:bookmarkEnd w:id="75"/>
      <w:bookmarkEnd w:id="76"/>
      <w:bookmarkEnd w:id="77"/>
    </w:p>
    <w:p>
      <w:pPr>
        <w:tabs>
          <w:tab w:val="left" w:pos="7665"/>
        </w:tabs>
        <w:spacing w:line="400" w:lineRule="exact"/>
        <w:ind w:left="13" w:hanging="118"/>
        <w:rPr>
          <w:rFonts w:asciiTheme="minorEastAsia" w:hAnsiTheme="minorEastAsia" w:eastAsiaTheme="minorEastAsia"/>
          <w:sz w:val="24"/>
        </w:rPr>
      </w:pPr>
      <w:r>
        <w:rPr>
          <w:rFonts w:asciiTheme="minorEastAsia" w:hAnsiTheme="minorEastAsia" w:eastAsiaTheme="minorEastAsia"/>
          <w:b/>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本次招标项目的投标均以人民币报价。</w:t>
      </w:r>
    </w:p>
    <w:p>
      <w:pPr>
        <w:pStyle w:val="50"/>
        <w:spacing w:beforeLines="0" w:afterLines="0" w:line="400" w:lineRule="exact"/>
        <w:ind w:firstLine="482"/>
        <w:rPr>
          <w:rFonts w:asciiTheme="minorEastAsia" w:hAnsiTheme="minorEastAsia" w:eastAsiaTheme="minorEastAsia"/>
          <w:b/>
          <w:sz w:val="24"/>
        </w:rPr>
      </w:pPr>
      <w:bookmarkStart w:id="78" w:name="_Toc217446046"/>
      <w:bookmarkStart w:id="79" w:name="_Toc23545"/>
      <w:bookmarkStart w:id="80" w:name="_Toc29342"/>
      <w:bookmarkStart w:id="81" w:name="_Toc27831"/>
      <w:r>
        <w:rPr>
          <w:rFonts w:asciiTheme="minorEastAsia" w:hAnsiTheme="minorEastAsia" w:eastAsiaTheme="minorEastAsia"/>
          <w:b/>
          <w:sz w:val="24"/>
        </w:rPr>
        <w:t xml:space="preserve">12. </w:t>
      </w:r>
      <w:r>
        <w:rPr>
          <w:rFonts w:hint="eastAsia" w:asciiTheme="minorEastAsia" w:hAnsiTheme="minorEastAsia" w:eastAsiaTheme="minorEastAsia"/>
          <w:b/>
          <w:sz w:val="24"/>
        </w:rPr>
        <w:t>联合体投标</w:t>
      </w:r>
      <w:bookmarkEnd w:id="78"/>
      <w:r>
        <w:rPr>
          <w:rFonts w:hint="eastAsia" w:asciiTheme="minorEastAsia" w:hAnsiTheme="minorEastAsia" w:eastAsiaTheme="minorEastAsia"/>
          <w:b/>
          <w:sz w:val="24"/>
        </w:rPr>
        <w:t>（实质性要求）</w:t>
      </w:r>
      <w:bookmarkEnd w:id="79"/>
      <w:bookmarkEnd w:id="80"/>
      <w:bookmarkEnd w:id="81"/>
    </w:p>
    <w:p>
      <w:pPr>
        <w:spacing w:line="400" w:lineRule="exact"/>
        <w:ind w:firstLine="470" w:firstLineChars="196"/>
        <w:rPr>
          <w:rFonts w:asciiTheme="minorEastAsia" w:hAnsiTheme="minorEastAsia" w:eastAsiaTheme="minorEastAsia"/>
          <w:sz w:val="24"/>
        </w:rPr>
      </w:pPr>
      <w:bookmarkStart w:id="82" w:name="_Toc217446047"/>
      <w:r>
        <w:rPr>
          <w:rFonts w:hint="eastAsia" w:asciiTheme="minorEastAsia" w:hAnsiTheme="minorEastAsia" w:eastAsiaTheme="minorEastAsia"/>
          <w:sz w:val="24"/>
        </w:rPr>
        <w:t>本项目不允许联合体投标。</w:t>
      </w:r>
    </w:p>
    <w:p>
      <w:pPr>
        <w:pStyle w:val="50"/>
        <w:spacing w:beforeLines="0" w:afterLines="0" w:line="400" w:lineRule="exact"/>
        <w:ind w:firstLine="482"/>
        <w:rPr>
          <w:rFonts w:asciiTheme="minorEastAsia" w:hAnsiTheme="minorEastAsia" w:eastAsiaTheme="minorEastAsia"/>
          <w:b/>
          <w:bCs/>
          <w:sz w:val="24"/>
        </w:rPr>
      </w:pPr>
      <w:bookmarkStart w:id="83" w:name="_Toc308164797"/>
      <w:bookmarkStart w:id="84" w:name="_Toc25478"/>
      <w:bookmarkStart w:id="85" w:name="_Toc8908"/>
      <w:bookmarkStart w:id="86" w:name="_Toc12446"/>
      <w:r>
        <w:rPr>
          <w:rFonts w:asciiTheme="minorEastAsia" w:hAnsiTheme="minorEastAsia" w:eastAsiaTheme="minorEastAsia"/>
          <w:b/>
          <w:sz w:val="24"/>
        </w:rPr>
        <w:t xml:space="preserve">13. </w:t>
      </w:r>
      <w:r>
        <w:rPr>
          <w:rFonts w:hint="eastAsia" w:asciiTheme="minorEastAsia" w:hAnsiTheme="minorEastAsia" w:eastAsiaTheme="minorEastAsia"/>
          <w:b/>
          <w:sz w:val="24"/>
        </w:rPr>
        <w:t>知识产权</w:t>
      </w:r>
      <w:bookmarkEnd w:id="82"/>
      <w:bookmarkEnd w:id="83"/>
      <w:r>
        <w:rPr>
          <w:rFonts w:hint="eastAsia" w:asciiTheme="minorEastAsia" w:hAnsiTheme="minorEastAsia" w:eastAsiaTheme="minorEastAsia"/>
          <w:b/>
          <w:sz w:val="24"/>
        </w:rPr>
        <w:t>（实质性要求）</w:t>
      </w:r>
      <w:bookmarkEnd w:id="84"/>
      <w:bookmarkEnd w:id="85"/>
      <w:bookmarkEnd w:id="86"/>
    </w:p>
    <w:p>
      <w:pPr>
        <w:pStyle w:val="9"/>
        <w:spacing w:line="400" w:lineRule="exact"/>
        <w:ind w:firstLine="480" w:firstLineChars="200"/>
        <w:rPr>
          <w:rFonts w:asciiTheme="minorEastAsia" w:hAnsiTheme="minorEastAsia" w:eastAsiaTheme="minorEastAsia"/>
        </w:rPr>
      </w:pPr>
      <w:r>
        <w:rPr>
          <w:rFonts w:asciiTheme="minorEastAsia" w:hAnsiTheme="minorEastAsia" w:eastAsiaTheme="minorEastAsia"/>
        </w:rPr>
        <w:t xml:space="preserve">13.1 </w:t>
      </w:r>
      <w:r>
        <w:rPr>
          <w:rFonts w:hint="eastAsia" w:asciiTheme="minorEastAsia" w:hAnsiTheme="minorEastAsia" w:eastAsiaTheme="minorEastAsi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9"/>
        <w:spacing w:line="400" w:lineRule="exact"/>
        <w:ind w:firstLine="480" w:firstLineChars="200"/>
        <w:rPr>
          <w:rFonts w:asciiTheme="minorEastAsia" w:hAnsiTheme="minorEastAsia" w:eastAsiaTheme="minorEastAsia"/>
        </w:rPr>
      </w:pPr>
      <w:r>
        <w:rPr>
          <w:rFonts w:asciiTheme="minorEastAsia" w:hAnsiTheme="minorEastAsia" w:eastAsiaTheme="minorEastAsia"/>
        </w:rPr>
        <w:t xml:space="preserve">13.2 </w:t>
      </w:r>
      <w:r>
        <w:rPr>
          <w:rFonts w:hint="eastAsia" w:asciiTheme="minorEastAsia" w:hAnsiTheme="minorEastAsia" w:eastAsiaTheme="minorEastAsia"/>
        </w:rPr>
        <w:t>采购人享有本项目实施过程中产生的知识成果及知识产权。</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13.3 </w:t>
      </w:r>
      <w:r>
        <w:rPr>
          <w:rFonts w:hint="eastAsia" w:asciiTheme="minorEastAsia" w:hAnsiTheme="minorEastAsia" w:eastAsiaTheme="minorEastAsia"/>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13.4 </w:t>
      </w:r>
      <w:r>
        <w:rPr>
          <w:rFonts w:hint="eastAsia" w:asciiTheme="minorEastAsia" w:hAnsiTheme="minorEastAsia" w:eastAsiaTheme="minorEastAsia"/>
          <w:sz w:val="24"/>
        </w:rPr>
        <w:t>如采用投标人所不拥有的知识产权，则在投标报价中必须包括合法获取该知识产权的相关费用。</w:t>
      </w:r>
      <w:r>
        <w:rPr>
          <w:rFonts w:asciiTheme="minorEastAsia" w:hAnsiTheme="minorEastAsia" w:eastAsiaTheme="minorEastAsia"/>
          <w:sz w:val="24"/>
        </w:rPr>
        <w:t xml:space="preserve"> </w:t>
      </w:r>
    </w:p>
    <w:p>
      <w:pPr>
        <w:pStyle w:val="9"/>
        <w:spacing w:line="400" w:lineRule="exact"/>
        <w:ind w:firstLine="482" w:firstLineChars="200"/>
        <w:rPr>
          <w:rFonts w:asciiTheme="minorEastAsia" w:hAnsiTheme="minorEastAsia" w:eastAsiaTheme="minorEastAsia"/>
          <w:b/>
        </w:rPr>
      </w:pPr>
      <w:bookmarkStart w:id="87" w:name="_Toc6754"/>
      <w:bookmarkStart w:id="88" w:name="_Toc217446048"/>
      <w:bookmarkStart w:id="89" w:name="_Toc183582217"/>
      <w:bookmarkStart w:id="90" w:name="_Toc308164798"/>
      <w:bookmarkStart w:id="91" w:name="_Toc8547"/>
      <w:bookmarkStart w:id="92" w:name="_Toc183682354"/>
      <w:bookmarkStart w:id="93" w:name="_Toc11120"/>
      <w:r>
        <w:rPr>
          <w:rFonts w:asciiTheme="minorEastAsia" w:hAnsiTheme="minorEastAsia" w:eastAsiaTheme="minorEastAsia"/>
          <w:b/>
        </w:rPr>
        <w:t>14</w:t>
      </w:r>
      <w:r>
        <w:rPr>
          <w:rFonts w:hint="eastAsia" w:asciiTheme="minorEastAsia" w:hAnsiTheme="minorEastAsia" w:eastAsiaTheme="minorEastAsia"/>
          <w:b/>
        </w:rPr>
        <w:t>．投标文件的组成</w:t>
      </w:r>
      <w:bookmarkEnd w:id="87"/>
      <w:bookmarkEnd w:id="88"/>
      <w:bookmarkEnd w:id="89"/>
      <w:bookmarkEnd w:id="90"/>
      <w:bookmarkEnd w:id="91"/>
      <w:bookmarkEnd w:id="92"/>
      <w:bookmarkEnd w:id="93"/>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投标人应按照招标文件的规定和要求编制投标文件。投标人编写的投标文件应至少包括下列两部分文件：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文件一：资格审查申请材料</w:t>
      </w:r>
    </w:p>
    <w:p>
      <w:pPr>
        <w:pStyle w:val="9"/>
        <w:spacing w:line="400" w:lineRule="exact"/>
        <w:ind w:firstLine="480" w:firstLineChars="200"/>
        <w:rPr>
          <w:rFonts w:asciiTheme="minorEastAsia" w:hAnsiTheme="minorEastAsia" w:eastAsiaTheme="minorEastAsia"/>
          <w:b/>
        </w:rPr>
      </w:pPr>
      <w:r>
        <w:rPr>
          <w:rFonts w:hint="eastAsia" w:asciiTheme="minorEastAsia" w:hAnsiTheme="minorEastAsia" w:eastAsiaTheme="minorEastAsia"/>
        </w:rPr>
        <w:t>投标人应严格按照招标文件第四、五章要求集中在此部分提供相关资格、资质性及其他类似效力要求的证明材料，未在此部分提供的资格性证明材料在进行资格性审查时不予认可。</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文件二：投标文件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投标人应按照招标文件的规定和要求编制投标文件。投标人拟在中标后将中标项目的非主体、非关键性工作交由他人完成的，应当在投标文件中载明。投标人编写的投标文件应包括下列部分：</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14.1 报价部分。投标人按照招标文件要求填写的“开标一览表”及“分项报价明细表”。 本次招标报价要求：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（1）投标人的报价是投标人响应招标项目要求的全部工作内容的价格体现，包括投标人完成本项目所需的一切费用（实质性要求）。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（2）投标人服务只允许有一个报价，并且在合同履行过程中是固定不变的，任何有选择或可调整的报价将不予接受，并按无效投标处理（实质性要求）。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（3）在本次投标之前一周年内，投标人本次投标中对同一品牌同一型号相同配置的产品报价与其在中国境内其他地方的最低报价比例不得高于10%。（实质性要求）。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14.2技术部分。投标人按照招标文件要求做出的技术应答，主要是针对招标项目的技术指标、参数和技术要求做出的实质性响应和满足。投标人的技术应答应包括（但不限于）以下内容：</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（1）投标产品的品牌、型号、配置；</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（2）投标产品本身的详细的技术指标和参数；</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（3）技术方案、项目实施方案；</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（4）投标产品技术参数表；</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（5）产品验收标准和验收方法；</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（6）产品验收清单（注明各部件的品名、数量、价格、规格型号和原产地或生产厂家）。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（7）投标人认为需要提供的文件和资料。</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14.3 商务部分。投标人按照招标文件要求提供的有关证明材料及优惠承诺。包括（但不限于）以下内容：</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（1）投标函；</w:t>
      </w:r>
    </w:p>
    <w:p>
      <w:pPr>
        <w:pStyle w:val="9"/>
        <w:spacing w:line="400" w:lineRule="exact"/>
        <w:ind w:firstLine="600" w:firstLineChars="250"/>
        <w:rPr>
          <w:rFonts w:asciiTheme="minorEastAsia" w:hAnsiTheme="minorEastAsia" w:eastAsiaTheme="minorEastAsia"/>
        </w:rPr>
      </w:pPr>
      <w:r>
        <w:rPr>
          <w:rFonts w:hint="eastAsia" w:asciiTheme="minorEastAsia" w:hAnsiTheme="minorEastAsia" w:eastAsiaTheme="minorEastAsia"/>
        </w:rPr>
        <w:t>（2）证明投标人业绩和荣誉的有关材料；</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（3）商务应答表；</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4）投标人承诺给予招标采购单位的各种优惠条件（优惠条件事项不能包括采购项目本身所包含的采购事项。投标人不能以“赠送、赠予”等任何名义提供服务以规避招标文件的约束。否则，投标人提供的投标文件将作为无效投标处理，即使中标也将取消中标资格）；</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（5）其他投标人认为需要提供的文件和资料。</w:t>
      </w:r>
    </w:p>
    <w:p>
      <w:pPr>
        <w:pStyle w:val="9"/>
        <w:rPr>
          <w:rFonts w:asciiTheme="minorEastAsia" w:hAnsiTheme="minorEastAsia" w:eastAsiaTheme="minorEastAsia"/>
        </w:rPr>
      </w:pPr>
      <w:r>
        <w:rPr>
          <w:rFonts w:hint="eastAsia" w:asciiTheme="minorEastAsia" w:hAnsiTheme="minorEastAsia" w:eastAsiaTheme="minorEastAsia"/>
          <w:bCs/>
        </w:rPr>
        <w:t>14.4售后服务（根据具体项目情况确定）。</w:t>
      </w:r>
      <w:r>
        <w:rPr>
          <w:rFonts w:hint="eastAsia" w:asciiTheme="minorEastAsia" w:hAnsiTheme="minorEastAsia" w:eastAsiaTheme="minorEastAsia"/>
        </w:rPr>
        <w:t xml:space="preserve">投标人按照招标文件中售后服务要求作出的积极响应和承诺。包括以下内容： </w:t>
      </w:r>
    </w:p>
    <w:p>
      <w:pPr>
        <w:pStyle w:val="9"/>
        <w:rPr>
          <w:rFonts w:asciiTheme="minorEastAsia" w:hAnsiTheme="minorEastAsia" w:eastAsiaTheme="minorEastAsia"/>
        </w:rPr>
      </w:pPr>
      <w:r>
        <w:rPr>
          <w:rFonts w:hint="eastAsia" w:asciiTheme="minorEastAsia" w:hAnsiTheme="minorEastAsia" w:eastAsiaTheme="minorEastAsia"/>
        </w:rPr>
        <w:t>（1）产品制造厂家或投标人设立的售后服务机构网点清单、服务电话和维修人员名单；</w:t>
      </w:r>
    </w:p>
    <w:p>
      <w:pPr>
        <w:pStyle w:val="9"/>
        <w:rPr>
          <w:rFonts w:asciiTheme="minorEastAsia" w:hAnsiTheme="minorEastAsia" w:eastAsiaTheme="minorEastAsia"/>
        </w:rPr>
      </w:pPr>
      <w:r>
        <w:rPr>
          <w:rFonts w:hint="eastAsia" w:asciiTheme="minorEastAsia" w:hAnsiTheme="minorEastAsia" w:eastAsiaTheme="minorEastAsia"/>
        </w:rPr>
        <w:t>（2）说明投标产品的保修时间、保修期内的保修内容与范围、维修响应时间等。分别提供产品制造厂家和投标人的服务承诺和保障措施；</w:t>
      </w:r>
    </w:p>
    <w:p>
      <w:pPr>
        <w:pStyle w:val="9"/>
        <w:rPr>
          <w:rFonts w:asciiTheme="minorEastAsia" w:hAnsiTheme="minorEastAsia" w:eastAsiaTheme="minorEastAsia"/>
        </w:rPr>
      </w:pPr>
      <w:r>
        <w:rPr>
          <w:rFonts w:hint="eastAsia" w:asciiTheme="minorEastAsia" w:hAnsiTheme="minorEastAsia" w:eastAsiaTheme="minorEastAsia"/>
        </w:rPr>
        <w:t>（3）培训措施：说明培训内容及培训的时间、地点、目标、培训人数、收费标准和办法；</w:t>
      </w:r>
    </w:p>
    <w:p>
      <w:pPr>
        <w:pStyle w:val="9"/>
        <w:rPr>
          <w:rFonts w:asciiTheme="minorEastAsia" w:hAnsiTheme="minorEastAsia" w:eastAsiaTheme="minorEastAsia"/>
        </w:rPr>
      </w:pPr>
      <w:r>
        <w:rPr>
          <w:rFonts w:hint="eastAsia" w:asciiTheme="minorEastAsia" w:hAnsiTheme="minorEastAsia" w:eastAsiaTheme="minorEastAsia"/>
        </w:rPr>
        <w:t>（4）其他有利于用户的服务承诺。</w:t>
      </w:r>
    </w:p>
    <w:p>
      <w:pPr>
        <w:pStyle w:val="9"/>
        <w:spacing w:line="400" w:lineRule="exact"/>
        <w:ind w:firstLine="482" w:firstLineChars="200"/>
        <w:rPr>
          <w:rFonts w:asciiTheme="minorEastAsia" w:hAnsiTheme="minorEastAsia" w:eastAsiaTheme="minorEastAsia"/>
        </w:rPr>
      </w:pPr>
      <w:r>
        <w:rPr>
          <w:rFonts w:hint="eastAsia" w:asciiTheme="minorEastAsia" w:hAnsiTheme="minorEastAsia" w:eastAsiaTheme="minorEastAsia"/>
          <w:b/>
          <w:bCs/>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提供虚假材料谋取中标处理（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14.5其他部分。投标人按照招标文件要求作出的其他应答和承诺。</w:t>
      </w:r>
    </w:p>
    <w:p>
      <w:pPr>
        <w:pStyle w:val="50"/>
        <w:spacing w:beforeLines="0" w:afterLines="0" w:line="400" w:lineRule="exact"/>
        <w:ind w:firstLine="441" w:firstLineChars="183"/>
        <w:rPr>
          <w:rFonts w:asciiTheme="minorEastAsia" w:hAnsiTheme="minorEastAsia" w:eastAsiaTheme="minorEastAsia"/>
          <w:b/>
        </w:rPr>
      </w:pPr>
      <w:bookmarkStart w:id="94" w:name="_Toc4087"/>
      <w:bookmarkStart w:id="95" w:name="_Toc183682355"/>
      <w:bookmarkStart w:id="96" w:name="_Toc217446049"/>
      <w:bookmarkStart w:id="97" w:name="_Toc22250"/>
      <w:bookmarkStart w:id="98" w:name="_Toc183582218"/>
      <w:bookmarkStart w:id="99" w:name="_Toc1495"/>
      <w:bookmarkStart w:id="100" w:name="_Toc308164799"/>
      <w:r>
        <w:rPr>
          <w:rFonts w:asciiTheme="minorEastAsia" w:hAnsiTheme="minorEastAsia" w:eastAsiaTheme="minorEastAsia"/>
          <w:b/>
          <w:sz w:val="24"/>
        </w:rPr>
        <w:t>15</w:t>
      </w:r>
      <w:r>
        <w:rPr>
          <w:rFonts w:hint="eastAsia" w:asciiTheme="minorEastAsia" w:hAnsiTheme="minorEastAsia" w:eastAsiaTheme="minorEastAsia"/>
          <w:b/>
          <w:sz w:val="24"/>
        </w:rPr>
        <w:t>．投标文件格式</w:t>
      </w:r>
      <w:bookmarkEnd w:id="94"/>
      <w:bookmarkEnd w:id="95"/>
      <w:bookmarkEnd w:id="96"/>
      <w:bookmarkEnd w:id="97"/>
      <w:bookmarkEnd w:id="98"/>
      <w:bookmarkEnd w:id="99"/>
      <w:bookmarkEnd w:id="100"/>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15.1 </w:t>
      </w:r>
      <w:r>
        <w:rPr>
          <w:rFonts w:hint="eastAsia" w:asciiTheme="minorEastAsia" w:hAnsiTheme="minorEastAsia" w:eastAsiaTheme="minorEastAsia"/>
          <w:sz w:val="24"/>
        </w:rPr>
        <w:t>投标人应执行招标文件第三章的规定要求。</w:t>
      </w:r>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对于没有格式要求的投标文件由投标人自行编写。</w:t>
      </w:r>
    </w:p>
    <w:p>
      <w:pPr>
        <w:pStyle w:val="50"/>
        <w:spacing w:beforeLines="0" w:afterLines="0" w:line="400" w:lineRule="exact"/>
        <w:ind w:firstLine="441" w:firstLineChars="183"/>
        <w:rPr>
          <w:rFonts w:asciiTheme="minorEastAsia" w:hAnsiTheme="minorEastAsia" w:eastAsiaTheme="minorEastAsia"/>
          <w:b/>
        </w:rPr>
      </w:pPr>
      <w:bookmarkStart w:id="101" w:name="_Toc308164800"/>
      <w:bookmarkStart w:id="102" w:name="_Toc183582223"/>
      <w:bookmarkStart w:id="103" w:name="_Toc183682360"/>
      <w:bookmarkStart w:id="104" w:name="_Toc217446050"/>
      <w:bookmarkStart w:id="105" w:name="_Toc11721"/>
      <w:bookmarkStart w:id="106" w:name="_Toc6642"/>
      <w:bookmarkStart w:id="107" w:name="_Toc29820"/>
      <w:r>
        <w:rPr>
          <w:rFonts w:asciiTheme="minorEastAsia" w:hAnsiTheme="minorEastAsia" w:eastAsiaTheme="minorEastAsia"/>
          <w:b/>
          <w:sz w:val="24"/>
        </w:rPr>
        <w:t>16</w:t>
      </w:r>
      <w:r>
        <w:rPr>
          <w:rFonts w:hint="eastAsia" w:asciiTheme="minorEastAsia" w:hAnsiTheme="minorEastAsia" w:eastAsiaTheme="minorEastAsia"/>
          <w:b/>
          <w:sz w:val="24"/>
        </w:rPr>
        <w:t>．投标保证金</w:t>
      </w:r>
      <w:bookmarkEnd w:id="101"/>
      <w:bookmarkEnd w:id="102"/>
      <w:bookmarkEnd w:id="103"/>
      <w:bookmarkEnd w:id="104"/>
      <w:r>
        <w:rPr>
          <w:rFonts w:hint="eastAsia" w:asciiTheme="minorEastAsia" w:hAnsiTheme="minorEastAsia" w:eastAsiaTheme="minorEastAsia"/>
          <w:b/>
          <w:sz w:val="24"/>
        </w:rPr>
        <w:t>（实质性要求）</w:t>
      </w:r>
      <w:bookmarkEnd w:id="105"/>
      <w:bookmarkEnd w:id="106"/>
      <w:bookmarkEnd w:id="107"/>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本项目不收取投标保证金。</w:t>
      </w:r>
    </w:p>
    <w:p>
      <w:pPr>
        <w:pStyle w:val="50"/>
        <w:spacing w:beforeLines="0" w:afterLines="0" w:line="400" w:lineRule="exact"/>
        <w:ind w:firstLine="441" w:firstLineChars="183"/>
        <w:rPr>
          <w:rFonts w:asciiTheme="minorEastAsia" w:hAnsiTheme="minorEastAsia" w:eastAsiaTheme="minorEastAsia"/>
          <w:b/>
          <w:bCs/>
        </w:rPr>
      </w:pPr>
      <w:bookmarkStart w:id="108" w:name="_Toc183682361"/>
      <w:bookmarkStart w:id="109" w:name="_Toc183582224"/>
      <w:bookmarkStart w:id="110" w:name="_Toc217446051"/>
      <w:bookmarkStart w:id="111" w:name="_Toc308164801"/>
      <w:bookmarkStart w:id="112" w:name="_Toc26237"/>
      <w:bookmarkStart w:id="113" w:name="_Toc27361"/>
      <w:bookmarkStart w:id="114" w:name="_Toc787"/>
      <w:r>
        <w:rPr>
          <w:rFonts w:asciiTheme="minorEastAsia" w:hAnsiTheme="minorEastAsia" w:eastAsiaTheme="minorEastAsia"/>
          <w:b/>
          <w:sz w:val="24"/>
        </w:rPr>
        <w:t>17</w:t>
      </w:r>
      <w:r>
        <w:rPr>
          <w:rFonts w:hint="eastAsia" w:asciiTheme="minorEastAsia" w:hAnsiTheme="minorEastAsia" w:eastAsiaTheme="minorEastAsia"/>
          <w:b/>
          <w:sz w:val="24"/>
        </w:rPr>
        <w:t>．投标有效期</w:t>
      </w:r>
      <w:bookmarkEnd w:id="108"/>
      <w:bookmarkEnd w:id="109"/>
      <w:bookmarkEnd w:id="110"/>
      <w:bookmarkEnd w:id="111"/>
      <w:r>
        <w:rPr>
          <w:rFonts w:hint="eastAsia" w:asciiTheme="minorEastAsia" w:hAnsiTheme="minorEastAsia" w:eastAsiaTheme="minorEastAsia"/>
          <w:b/>
          <w:sz w:val="24"/>
        </w:rPr>
        <w:t>（实质性要求）</w:t>
      </w:r>
      <w:bookmarkEnd w:id="112"/>
      <w:bookmarkEnd w:id="113"/>
      <w:bookmarkEnd w:id="114"/>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本项目投标有效期为投标截止时间届满后180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Theme="minorEastAsia" w:hAnsiTheme="minorEastAsia" w:eastAsiaTheme="minorEastAsia"/>
          <w:sz w:val="24"/>
        </w:rPr>
      </w:pPr>
      <w:r>
        <w:rPr>
          <w:rFonts w:asciiTheme="minorEastAsia" w:hAnsiTheme="minorEastAsia" w:eastAsiaTheme="minorEastAsia"/>
          <w:sz w:val="24"/>
        </w:rPr>
        <w:t xml:space="preserve"> 17.2 </w:t>
      </w:r>
      <w:r>
        <w:rPr>
          <w:rFonts w:hint="eastAsia" w:asciiTheme="minorEastAsia" w:hAnsiTheme="minorEastAsia" w:eastAsiaTheme="min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asciiTheme="minorEastAsia" w:hAnsiTheme="minorEastAsia" w:eastAsiaTheme="minorEastAsia"/>
          <w:sz w:val="24"/>
        </w:rPr>
        <w:t xml:space="preserve"> </w:t>
      </w:r>
    </w:p>
    <w:p>
      <w:pPr>
        <w:tabs>
          <w:tab w:val="left" w:pos="7665"/>
        </w:tabs>
        <w:spacing w:line="400" w:lineRule="exact"/>
        <w:ind w:left="13" w:leftChars="6" w:firstLine="360" w:firstLineChars="150"/>
        <w:rPr>
          <w:rFonts w:asciiTheme="minorEastAsia" w:hAnsiTheme="minorEastAsia" w:eastAsiaTheme="minorEastAsia"/>
          <w:sz w:val="24"/>
        </w:rPr>
      </w:pPr>
      <w:r>
        <w:rPr>
          <w:rFonts w:asciiTheme="minorEastAsia" w:hAnsiTheme="minorEastAsia" w:eastAsiaTheme="minorEastAsia"/>
          <w:sz w:val="24"/>
        </w:rPr>
        <w:t xml:space="preserve">17.3 </w:t>
      </w:r>
      <w:r>
        <w:rPr>
          <w:rFonts w:hint="eastAsia" w:asciiTheme="minorEastAsia" w:hAnsiTheme="minorEastAsia" w:eastAsiaTheme="min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0"/>
        <w:spacing w:beforeLines="0" w:afterLines="0" w:line="400" w:lineRule="exact"/>
        <w:ind w:firstLine="441" w:firstLineChars="183"/>
        <w:rPr>
          <w:rFonts w:asciiTheme="minorEastAsia" w:hAnsiTheme="minorEastAsia" w:eastAsiaTheme="minorEastAsia"/>
          <w:b/>
          <w:sz w:val="24"/>
        </w:rPr>
      </w:pPr>
      <w:bookmarkStart w:id="115" w:name="_Toc183582225"/>
      <w:bookmarkStart w:id="116" w:name="_Toc217446052"/>
      <w:bookmarkStart w:id="117" w:name="_Toc308164802"/>
      <w:bookmarkStart w:id="118" w:name="_Toc5050"/>
      <w:bookmarkStart w:id="119" w:name="_Toc183682362"/>
      <w:bookmarkStart w:id="120" w:name="_Toc12933"/>
      <w:bookmarkStart w:id="121" w:name="_Toc9074"/>
      <w:r>
        <w:rPr>
          <w:rFonts w:asciiTheme="minorEastAsia" w:hAnsiTheme="minorEastAsia" w:eastAsiaTheme="minorEastAsia"/>
          <w:b/>
          <w:sz w:val="24"/>
        </w:rPr>
        <w:t>18</w:t>
      </w:r>
      <w:r>
        <w:rPr>
          <w:rFonts w:hint="eastAsia" w:asciiTheme="minorEastAsia" w:hAnsiTheme="minorEastAsia" w:eastAsiaTheme="minorEastAsia"/>
          <w:b/>
          <w:sz w:val="24"/>
        </w:rPr>
        <w:t>．投标文件的印制和签署</w:t>
      </w:r>
      <w:bookmarkEnd w:id="115"/>
      <w:bookmarkEnd w:id="116"/>
      <w:bookmarkEnd w:id="117"/>
      <w:bookmarkEnd w:id="118"/>
      <w:bookmarkEnd w:id="119"/>
      <w:bookmarkEnd w:id="120"/>
      <w:bookmarkEnd w:id="121"/>
    </w:p>
    <w:p>
      <w:pPr>
        <w:pStyle w:val="50"/>
        <w:spacing w:before="36" w:after="36" w:line="400" w:lineRule="exact"/>
        <w:ind w:firstLine="439" w:firstLineChars="183"/>
        <w:rPr>
          <w:rFonts w:asciiTheme="minorEastAsia" w:hAnsiTheme="minorEastAsia" w:eastAsiaTheme="minorEastAsia"/>
          <w:bCs/>
          <w:sz w:val="24"/>
        </w:rPr>
      </w:pPr>
      <w:r>
        <w:rPr>
          <w:rFonts w:hint="eastAsia" w:asciiTheme="minorEastAsia" w:hAnsiTheme="minorEastAsia" w:eastAsiaTheme="minorEastAsia"/>
          <w:bCs/>
          <w:sz w:val="24"/>
        </w:rPr>
        <w:t>18.1投标人根据招标文件第四、五章要求提供“资格审查申请材料” 正本壹份、副本壹份，正本和副本应当采取胶装方式装订成册，不得散装或者合页装订，单独密封。</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18.2投标人应准备投标文件正本壹份、副本肆份、电子文档壹份以及用于开标唱标单独递交的“开标一览表”一式贰份。投标文件的正本和副本应在其封面右上角清楚地标明“正本”或“副本”字样。若正本和副本有不一致的内容，以正本书面投标文件为准。</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18.3投标文件的正本和副本均需打印或用不褪色、不变质的墨水书写，并由投标人的法定代表人（非法人机构则为负责人，自然人则为本人）或其授权代表在规定签章处签字或盖章。投标文件副本可采用正本的复印件，用于开标唱标单独提交的“开标一览表”应为原件。</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18.4投标文件的打印和书写应清楚工整，任何行间插字、涂改或增删，必须由投标人的法定代表人（非法人机构则为负责人，自然人则为本人）或其授权代表签字或盖个人印鉴。</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18.5投标文件正本和副本应当采取胶装方式装订成册，不得散装或者合页装订（实质性要求）。</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18.6投标文件应根据招标文件的要求制作，签署、盖章和内容应完整。</w:t>
      </w:r>
    </w:p>
    <w:p>
      <w:pPr>
        <w:pStyle w:val="50"/>
        <w:spacing w:beforeLines="0" w:afterLines="0" w:line="400" w:lineRule="exact"/>
        <w:ind w:firstLine="480"/>
        <w:rPr>
          <w:rFonts w:asciiTheme="minorEastAsia" w:hAnsiTheme="minorEastAsia" w:eastAsiaTheme="minorEastAsia"/>
          <w:b/>
          <w:bCs/>
        </w:rPr>
      </w:pPr>
      <w:r>
        <w:rPr>
          <w:rFonts w:hint="eastAsia" w:asciiTheme="minorEastAsia" w:hAnsiTheme="minorEastAsia" w:eastAsiaTheme="minorEastAsia"/>
          <w:bCs/>
          <w:sz w:val="24"/>
        </w:rPr>
        <w:t>18.7投标文件统一用A4幅面纸印制，逐页编码。</w:t>
      </w:r>
    </w:p>
    <w:p>
      <w:pPr>
        <w:pStyle w:val="50"/>
        <w:spacing w:beforeLines="0" w:afterLines="0" w:line="400" w:lineRule="exact"/>
        <w:ind w:firstLine="441" w:firstLineChars="183"/>
        <w:rPr>
          <w:rFonts w:asciiTheme="minorEastAsia" w:hAnsiTheme="minorEastAsia" w:eastAsiaTheme="minorEastAsia"/>
          <w:b/>
          <w:sz w:val="24"/>
        </w:rPr>
      </w:pPr>
      <w:bookmarkStart w:id="122" w:name="_Toc77400781"/>
      <w:bookmarkStart w:id="123" w:name="_Toc89075877"/>
      <w:bookmarkStart w:id="124" w:name="_Toc183582226"/>
      <w:bookmarkStart w:id="125" w:name="_Toc183682363"/>
      <w:bookmarkStart w:id="126" w:name="_Toc217446053"/>
      <w:bookmarkStart w:id="127" w:name="_Toc308164803"/>
      <w:bookmarkStart w:id="128" w:name="_Toc7282"/>
      <w:bookmarkStart w:id="129" w:name="_Toc17859"/>
      <w:bookmarkStart w:id="130" w:name="_Toc6079"/>
      <w:r>
        <w:rPr>
          <w:rFonts w:asciiTheme="minorEastAsia" w:hAnsiTheme="minorEastAsia" w:eastAsiaTheme="minorEastAsia"/>
          <w:b/>
          <w:sz w:val="24"/>
        </w:rPr>
        <w:t>19.</w:t>
      </w:r>
      <w:r>
        <w:rPr>
          <w:rFonts w:hint="eastAsia" w:asciiTheme="minorEastAsia" w:hAnsiTheme="minorEastAsia" w:eastAsiaTheme="minorEastAsia"/>
          <w:b/>
          <w:sz w:val="24"/>
        </w:rPr>
        <w:t>投标文件的密封和标</w:t>
      </w:r>
      <w:bookmarkEnd w:id="122"/>
      <w:bookmarkEnd w:id="123"/>
      <w:bookmarkEnd w:id="124"/>
      <w:bookmarkEnd w:id="125"/>
      <w:r>
        <w:rPr>
          <w:rFonts w:hint="eastAsia" w:asciiTheme="minorEastAsia" w:hAnsiTheme="minorEastAsia" w:eastAsiaTheme="minorEastAsia"/>
          <w:b/>
          <w:sz w:val="24"/>
        </w:rPr>
        <w:t>注</w:t>
      </w:r>
      <w:bookmarkEnd w:id="126"/>
      <w:bookmarkEnd w:id="127"/>
      <w:bookmarkEnd w:id="128"/>
      <w:bookmarkEnd w:id="129"/>
      <w:bookmarkEnd w:id="130"/>
    </w:p>
    <w:p>
      <w:pPr>
        <w:tabs>
          <w:tab w:val="left" w:pos="1080"/>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19.1</w:t>
      </w:r>
      <w:r>
        <w:rPr>
          <w:rFonts w:hint="eastAsia" w:asciiTheme="minorEastAsia" w:hAnsiTheme="minorEastAsia" w:eastAsiaTheme="minorEastAsia"/>
          <w:sz w:val="24"/>
        </w:rPr>
        <w:t>投标人应在投标文件正本和所有副本的封面上注明投标人名称并加盖公章、招标编号、项目名称及分包号（如有分包）。</w:t>
      </w:r>
    </w:p>
    <w:p>
      <w:pPr>
        <w:tabs>
          <w:tab w:val="left" w:pos="1080"/>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19.2 </w:t>
      </w:r>
      <w:r>
        <w:rPr>
          <w:rFonts w:hint="eastAsia" w:asciiTheme="minorEastAsia" w:hAnsiTheme="minorEastAsia" w:eastAsiaTheme="minorEastAsia"/>
          <w:sz w:val="24"/>
        </w:rPr>
        <w:t>投标文件包括正本、副本、电子文档（U盘制作）和用于开标唱标单独提交的“开标一览表（一式贰份）”，以及装订成册单独封装的“资格审查申请材料”。投标文件应当密封，其中，电子文档单独密封、“开标一览表”（一式贰份）单独密封、“资格审查申请材料”正副本装订成册单独密封。</w:t>
      </w:r>
    </w:p>
    <w:p>
      <w:pPr>
        <w:tabs>
          <w:tab w:val="left" w:pos="1080"/>
        </w:tabs>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19.3投标文件的密封袋上应当注明投标人名称并加盖公章、招标编号、项目名称及分包号（如有分包）。</w:t>
      </w:r>
    </w:p>
    <w:p>
      <w:pPr>
        <w:pStyle w:val="50"/>
        <w:spacing w:beforeLines="0" w:afterLines="0" w:line="400" w:lineRule="exact"/>
        <w:ind w:firstLine="441" w:firstLineChars="183"/>
        <w:rPr>
          <w:rFonts w:asciiTheme="minorEastAsia" w:hAnsiTheme="minorEastAsia" w:eastAsiaTheme="minorEastAsia"/>
          <w:b/>
          <w:bCs/>
          <w:sz w:val="24"/>
        </w:rPr>
      </w:pPr>
      <w:bookmarkStart w:id="131" w:name="_Toc183582227"/>
      <w:bookmarkStart w:id="132" w:name="_Toc183682364"/>
      <w:bookmarkStart w:id="133" w:name="_Toc217446054"/>
      <w:bookmarkStart w:id="134" w:name="_Toc308164804"/>
      <w:bookmarkStart w:id="135" w:name="_Toc17010"/>
      <w:bookmarkStart w:id="136" w:name="_Toc22716"/>
      <w:bookmarkStart w:id="137" w:name="_Toc16525"/>
      <w:r>
        <w:rPr>
          <w:rFonts w:asciiTheme="minorEastAsia" w:hAnsiTheme="minorEastAsia" w:eastAsiaTheme="minorEastAsia"/>
          <w:b/>
          <w:sz w:val="24"/>
        </w:rPr>
        <w:t>20</w:t>
      </w:r>
      <w:r>
        <w:rPr>
          <w:rFonts w:hint="eastAsia" w:asciiTheme="minorEastAsia" w:hAnsiTheme="minorEastAsia" w:eastAsiaTheme="minorEastAsia"/>
          <w:b/>
          <w:sz w:val="24"/>
          <w:szCs w:val="28"/>
        </w:rPr>
        <w:t>．</w:t>
      </w:r>
      <w:r>
        <w:rPr>
          <w:rFonts w:hint="eastAsia" w:asciiTheme="minorEastAsia" w:hAnsiTheme="minorEastAsia" w:eastAsiaTheme="minorEastAsia"/>
          <w:b/>
          <w:sz w:val="24"/>
        </w:rPr>
        <w:t>投标文件的</w:t>
      </w:r>
      <w:bookmarkEnd w:id="131"/>
      <w:bookmarkEnd w:id="132"/>
      <w:r>
        <w:rPr>
          <w:rFonts w:hint="eastAsia" w:asciiTheme="minorEastAsia" w:hAnsiTheme="minorEastAsia" w:eastAsiaTheme="minorEastAsia"/>
          <w:b/>
          <w:sz w:val="24"/>
        </w:rPr>
        <w:t>递交</w:t>
      </w:r>
      <w:bookmarkEnd w:id="133"/>
      <w:bookmarkEnd w:id="134"/>
      <w:bookmarkEnd w:id="135"/>
      <w:bookmarkEnd w:id="136"/>
      <w:bookmarkEnd w:id="137"/>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20.1 </w:t>
      </w:r>
      <w:r>
        <w:rPr>
          <w:rFonts w:hint="eastAsia" w:asciiTheme="minorEastAsia" w:hAnsiTheme="minorEastAsia" w:eastAsiaTheme="min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20.2</w:t>
      </w:r>
      <w:r>
        <w:rPr>
          <w:rFonts w:hint="eastAsia" w:asciiTheme="minorEastAsia" w:hAnsiTheme="minorEastAsia" w:eastAsiaTheme="minorEastAsia"/>
          <w:sz w:val="24"/>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20.3</w:t>
      </w:r>
      <w:r>
        <w:rPr>
          <w:rFonts w:hint="eastAsia" w:asciiTheme="minorEastAsia" w:hAnsiTheme="minorEastAsia" w:eastAsiaTheme="minorEastAsia"/>
          <w:sz w:val="24"/>
        </w:rPr>
        <w:t>本次招标不接收邮寄的投标文件。</w:t>
      </w:r>
    </w:p>
    <w:p>
      <w:pPr>
        <w:pStyle w:val="50"/>
        <w:spacing w:beforeLines="0" w:afterLines="0" w:line="400" w:lineRule="exact"/>
        <w:ind w:firstLine="441" w:firstLineChars="183"/>
        <w:rPr>
          <w:rFonts w:asciiTheme="minorEastAsia" w:hAnsiTheme="minorEastAsia" w:eastAsiaTheme="minorEastAsia"/>
          <w:b/>
          <w:bCs/>
          <w:sz w:val="24"/>
        </w:rPr>
      </w:pPr>
      <w:bookmarkStart w:id="138" w:name="_Toc183582228"/>
      <w:bookmarkStart w:id="139" w:name="_Toc183682365"/>
      <w:bookmarkStart w:id="140" w:name="_Toc217446055"/>
      <w:bookmarkStart w:id="141" w:name="_Toc31660"/>
      <w:bookmarkStart w:id="142" w:name="_Toc22562"/>
      <w:bookmarkStart w:id="143" w:name="_Toc25395"/>
      <w:r>
        <w:rPr>
          <w:rFonts w:asciiTheme="minorEastAsia" w:hAnsiTheme="minorEastAsia" w:eastAsiaTheme="minorEastAsia"/>
          <w:b/>
          <w:sz w:val="24"/>
        </w:rPr>
        <w:t>21</w:t>
      </w:r>
      <w:r>
        <w:rPr>
          <w:rFonts w:hint="eastAsia" w:asciiTheme="minorEastAsia" w:hAnsiTheme="minorEastAsia" w:eastAsiaTheme="minorEastAsia"/>
          <w:b/>
          <w:sz w:val="24"/>
        </w:rPr>
        <w:t>．投标文件的修改和撤</w:t>
      </w:r>
      <w:bookmarkEnd w:id="138"/>
      <w:bookmarkEnd w:id="139"/>
      <w:r>
        <w:rPr>
          <w:rFonts w:hint="eastAsia" w:asciiTheme="minorEastAsia" w:hAnsiTheme="minorEastAsia" w:eastAsiaTheme="minorEastAsia"/>
          <w:b/>
          <w:sz w:val="24"/>
        </w:rPr>
        <w:t>回</w:t>
      </w:r>
      <w:bookmarkEnd w:id="140"/>
      <w:bookmarkEnd w:id="141"/>
      <w:bookmarkEnd w:id="142"/>
      <w:bookmarkEnd w:id="143"/>
    </w:p>
    <w:p>
      <w:pPr>
        <w:spacing w:line="400" w:lineRule="exact"/>
        <w:ind w:firstLine="470" w:firstLineChars="196"/>
        <w:rPr>
          <w:rFonts w:asciiTheme="minorEastAsia" w:hAnsiTheme="minorEastAsia" w:eastAsiaTheme="minorEastAsia"/>
          <w:sz w:val="24"/>
        </w:rPr>
      </w:pPr>
      <w:r>
        <w:rPr>
          <w:rFonts w:asciiTheme="minorEastAsia" w:hAnsiTheme="minorEastAsia" w:eastAsiaTheme="minorEastAsia"/>
          <w:sz w:val="24"/>
        </w:rPr>
        <w:t xml:space="preserve">21.1 </w:t>
      </w:r>
      <w:r>
        <w:rPr>
          <w:rFonts w:hint="eastAsia" w:asciiTheme="minorEastAsia" w:hAnsiTheme="minorEastAsia" w:eastAsiaTheme="minorEastAsia"/>
          <w:sz w:val="24"/>
        </w:rPr>
        <w:t>投标人在递交了投标文件后，可以修改或撤回其投标文件，但必须在规定的投标截止时间前，以书面形式通知采购代理机构。</w:t>
      </w:r>
    </w:p>
    <w:p>
      <w:pPr>
        <w:spacing w:line="400" w:lineRule="exact"/>
        <w:ind w:firstLine="470" w:firstLineChars="196"/>
        <w:rPr>
          <w:rFonts w:asciiTheme="minorEastAsia" w:hAnsiTheme="minorEastAsia" w:eastAsiaTheme="minorEastAsia"/>
          <w:sz w:val="24"/>
        </w:rPr>
      </w:pPr>
      <w:r>
        <w:rPr>
          <w:rFonts w:asciiTheme="minorEastAsia" w:hAnsiTheme="minorEastAsia" w:eastAsiaTheme="minorEastAsia"/>
          <w:sz w:val="24"/>
        </w:rPr>
        <w:t xml:space="preserve">21.2 </w:t>
      </w:r>
      <w:r>
        <w:rPr>
          <w:rFonts w:hint="eastAsia" w:asciiTheme="minorEastAsia" w:hAnsiTheme="minorEastAsia" w:eastAsiaTheme="minorEastAsia"/>
          <w:sz w:val="24"/>
        </w:rPr>
        <w:t>投标人的修改书或撤回通知书，应由其法定代表人或授权代表签署并盖单位印章。修改书应按投标须知第</w:t>
      </w:r>
      <w:r>
        <w:rPr>
          <w:rFonts w:asciiTheme="minorEastAsia" w:hAnsiTheme="minorEastAsia" w:eastAsiaTheme="minorEastAsia"/>
          <w:sz w:val="24"/>
        </w:rPr>
        <w:t>19</w:t>
      </w:r>
      <w:r>
        <w:rPr>
          <w:rFonts w:hint="eastAsia" w:asciiTheme="minorEastAsia" w:hAnsiTheme="minorEastAsia" w:eastAsiaTheme="minorEastAsia"/>
          <w:sz w:val="24"/>
        </w:rPr>
        <w:t>条规定进行密封和标注，并在密封袋上标注“修改”字样。</w:t>
      </w:r>
    </w:p>
    <w:p>
      <w:pPr>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21.3 </w:t>
      </w:r>
      <w:r>
        <w:rPr>
          <w:rFonts w:hint="eastAsia" w:asciiTheme="minorEastAsia" w:hAnsiTheme="minorEastAsia" w:eastAsiaTheme="minorEastAsia"/>
          <w:sz w:val="24"/>
        </w:rPr>
        <w:t>在投标截止时间之后，投标人不得对其递交的投标文件做任何修改，撤回投标的，将按照有关规定进行相应处理。</w:t>
      </w:r>
    </w:p>
    <w:p>
      <w:pPr>
        <w:pStyle w:val="50"/>
        <w:spacing w:beforeLines="0" w:afterLines="0" w:line="400" w:lineRule="exact"/>
        <w:ind w:firstLine="643"/>
        <w:jc w:val="center"/>
        <w:rPr>
          <w:rFonts w:asciiTheme="minorEastAsia" w:hAnsiTheme="minorEastAsia" w:eastAsiaTheme="minorEastAsia"/>
          <w:b/>
        </w:rPr>
      </w:pPr>
      <w:bookmarkStart w:id="144" w:name="_Toc77400782"/>
      <w:bookmarkStart w:id="145" w:name="_Toc89075878"/>
      <w:bookmarkStart w:id="146" w:name="_Toc183582231"/>
      <w:bookmarkStart w:id="147" w:name="_Toc183682368"/>
      <w:bookmarkStart w:id="148" w:name="_Toc217446056"/>
      <w:bookmarkStart w:id="149" w:name="_Toc308164805"/>
      <w:bookmarkStart w:id="150" w:name="_Toc19263"/>
      <w:bookmarkStart w:id="151" w:name="_Toc5548"/>
      <w:bookmarkStart w:id="152" w:name="_Toc22916"/>
      <w:r>
        <w:rPr>
          <w:rFonts w:hint="eastAsia" w:asciiTheme="minorEastAsia" w:hAnsiTheme="minorEastAsia" w:eastAsiaTheme="minorEastAsia"/>
          <w:b/>
          <w:sz w:val="32"/>
        </w:rPr>
        <w:t>五、开标和中标</w:t>
      </w:r>
      <w:bookmarkEnd w:id="144"/>
      <w:bookmarkEnd w:id="145"/>
      <w:bookmarkEnd w:id="146"/>
      <w:bookmarkEnd w:id="147"/>
      <w:bookmarkEnd w:id="148"/>
      <w:bookmarkEnd w:id="149"/>
      <w:bookmarkEnd w:id="150"/>
      <w:bookmarkEnd w:id="151"/>
      <w:bookmarkEnd w:id="152"/>
    </w:p>
    <w:p>
      <w:pPr>
        <w:pStyle w:val="50"/>
        <w:spacing w:beforeLines="0" w:afterLines="0" w:line="400" w:lineRule="exact"/>
        <w:ind w:firstLine="441" w:firstLineChars="183"/>
        <w:rPr>
          <w:rFonts w:asciiTheme="minorEastAsia" w:hAnsiTheme="minorEastAsia" w:eastAsiaTheme="minorEastAsia"/>
          <w:b/>
          <w:bCs/>
        </w:rPr>
      </w:pPr>
      <w:bookmarkStart w:id="153" w:name="_Toc183582232"/>
      <w:bookmarkStart w:id="154" w:name="_Toc183682369"/>
      <w:bookmarkStart w:id="155" w:name="_Toc217446057"/>
      <w:bookmarkStart w:id="156" w:name="_Toc308164806"/>
      <w:bookmarkStart w:id="157" w:name="_Toc13300"/>
      <w:bookmarkStart w:id="158" w:name="_Toc15307"/>
      <w:bookmarkStart w:id="159" w:name="_Toc31606"/>
      <w:r>
        <w:rPr>
          <w:rFonts w:asciiTheme="minorEastAsia" w:hAnsiTheme="minorEastAsia" w:eastAsiaTheme="minorEastAsia"/>
          <w:b/>
          <w:sz w:val="24"/>
        </w:rPr>
        <w:t>22</w:t>
      </w:r>
      <w:r>
        <w:rPr>
          <w:rFonts w:hint="eastAsia" w:asciiTheme="minorEastAsia" w:hAnsiTheme="minorEastAsia" w:eastAsiaTheme="minorEastAsia"/>
          <w:b/>
          <w:sz w:val="24"/>
        </w:rPr>
        <w:t>．开标</w:t>
      </w:r>
      <w:bookmarkEnd w:id="153"/>
      <w:bookmarkEnd w:id="154"/>
      <w:bookmarkEnd w:id="155"/>
      <w:bookmarkEnd w:id="156"/>
      <w:bookmarkEnd w:id="157"/>
      <w:bookmarkEnd w:id="158"/>
      <w:bookmarkEnd w:id="159"/>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22.1 </w:t>
      </w:r>
      <w:r>
        <w:rPr>
          <w:rFonts w:hint="eastAsia" w:asciiTheme="minorEastAsia" w:hAnsiTheme="minorEastAsia" w:eastAsiaTheme="minorEastAsia"/>
          <w:sz w:val="24"/>
        </w:rPr>
        <w:t>开标在招标文件规定的时间和地点公开进行，采购人、投标人须派代表参加并签到以证明其出席。开标由采购代理机构主持，采购人、投标人代表参加。评标专家不参加开标活动。</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22.2 </w:t>
      </w:r>
      <w:r>
        <w:rPr>
          <w:rFonts w:hint="eastAsia" w:asciiTheme="minorEastAsia" w:hAnsiTheme="minorEastAsia" w:eastAsiaTheme="minorEastAsia"/>
          <w:sz w:val="24"/>
        </w:rPr>
        <w:t>开标时，可能根据具体情况邀请有关监督管理部门对开标活动进行现场监督。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22.3 </w:t>
      </w:r>
      <w:r>
        <w:rPr>
          <w:rFonts w:hint="eastAsia" w:asciiTheme="minorEastAsia" w:hAnsiTheme="minorEastAsia" w:eastAsiaTheme="minorEastAsia"/>
          <w:sz w:val="24"/>
        </w:rPr>
        <w:t>开标时，由投标人或者其推选的代表先检查其自己递交的投标文件的密封情况，经确认无误后，由招标工作人员将投标人单独递交的“开标一览表”当众拆封，并由唱标人员按照招标文件规定的内容进行宣读。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22.4 </w:t>
      </w:r>
      <w:r>
        <w:rPr>
          <w:rFonts w:hint="eastAsia" w:asciiTheme="minorEastAsia" w:hAnsiTheme="minorEastAsia" w:eastAsiaTheme="minorEastAsia"/>
          <w:sz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22.5 </w:t>
      </w:r>
      <w:r>
        <w:rPr>
          <w:rFonts w:hint="eastAsia" w:asciiTheme="minorEastAsia" w:hAnsiTheme="minorEastAsia" w:eastAsiaTheme="minorEastAsia"/>
          <w:sz w:val="24"/>
        </w:rPr>
        <w:t>投标文件中相关内容与“开标一览表”不一致的，以“开标一览表”为准。对不同文字文本投标文件的解释发生异议的，以中文文本为准。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22.6 </w:t>
      </w:r>
      <w:r>
        <w:rPr>
          <w:rFonts w:hint="eastAsia" w:asciiTheme="minorEastAsia" w:hAnsiTheme="minorEastAsia" w:eastAsiaTheme="minorEastAsia"/>
          <w:sz w:val="24"/>
        </w:rPr>
        <w:t>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2" w:firstLineChars="200"/>
        <w:rPr>
          <w:rFonts w:asciiTheme="minorEastAsia" w:hAnsiTheme="minorEastAsia" w:eastAsiaTheme="minorEastAsia"/>
          <w:b/>
          <w:sz w:val="24"/>
        </w:rPr>
      </w:pPr>
      <w:bookmarkStart w:id="160" w:name="_Toc308164807"/>
      <w:bookmarkStart w:id="161" w:name="_Toc217446058"/>
      <w:r>
        <w:rPr>
          <w:rFonts w:asciiTheme="minorEastAsia" w:hAnsiTheme="minorEastAsia" w:eastAsiaTheme="minorEastAsia"/>
          <w:b/>
          <w:sz w:val="24"/>
        </w:rPr>
        <w:t xml:space="preserve">23. </w:t>
      </w:r>
      <w:r>
        <w:rPr>
          <w:rFonts w:hint="eastAsia" w:asciiTheme="minorEastAsia" w:hAnsiTheme="minorEastAsia" w:eastAsiaTheme="minorEastAsia"/>
          <w:b/>
          <w:sz w:val="24"/>
        </w:rPr>
        <w:t>开标程序</w:t>
      </w:r>
      <w:bookmarkEnd w:id="160"/>
      <w:bookmarkEnd w:id="161"/>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开标会主持人按照招标文件规定的开标时间宣布开标，按照规定要求主持开标会。开标将按以下程序进行：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）根据投标人或者其推选的代表对投标文件密封的检查结果，当众宣布投标文件的密封情况。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开标唱标。主持人宣布开标后，由现场工作人员按任意顺序对投标人的“开标一览表”当众进行拆封，由唱标人员宣读投标人名称、投标价格。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广汉市人民医院官网上查询。</w:t>
      </w:r>
    </w:p>
    <w:p>
      <w:pPr>
        <w:spacing w:line="400" w:lineRule="exact"/>
        <w:ind w:firstLine="482" w:firstLineChars="200"/>
        <w:rPr>
          <w:rFonts w:asciiTheme="minorEastAsia" w:hAnsiTheme="minorEastAsia" w:eastAsiaTheme="minorEastAsia"/>
          <w:b/>
          <w:sz w:val="24"/>
        </w:rPr>
      </w:pPr>
      <w:bookmarkStart w:id="162" w:name="_Toc183582238"/>
      <w:bookmarkStart w:id="163" w:name="_Toc183682375"/>
      <w:bookmarkStart w:id="164" w:name="_Toc217446063"/>
      <w:bookmarkStart w:id="165" w:name="_Toc308164809"/>
      <w:r>
        <w:rPr>
          <w:rFonts w:asciiTheme="minorEastAsia" w:hAnsiTheme="minorEastAsia" w:eastAsiaTheme="minorEastAsia"/>
          <w:b/>
          <w:sz w:val="24"/>
        </w:rPr>
        <w:t>24</w:t>
      </w:r>
      <w:r>
        <w:rPr>
          <w:rFonts w:hint="eastAsia" w:asciiTheme="minorEastAsia" w:hAnsiTheme="minorEastAsia" w:eastAsiaTheme="minorEastAsia"/>
          <w:b/>
          <w:sz w:val="24"/>
        </w:rPr>
        <w:t>．开评标过程存档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开标和评标过程进行全过程电子监控，并将电子监控资料存储介质留存归档。</w:t>
      </w:r>
    </w:p>
    <w:p>
      <w:pPr>
        <w:spacing w:line="4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25.</w:t>
      </w:r>
      <w:r>
        <w:rPr>
          <w:rFonts w:hint="eastAsia" w:asciiTheme="minorEastAsia" w:hAnsiTheme="minorEastAsia" w:eastAsiaTheme="minorEastAsia"/>
          <w:b/>
          <w:sz w:val="24"/>
        </w:rPr>
        <w:t>评标情况公告</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所有供应商投标文件资格性、符合性检查情况、采用综合评分法时的总得分和分项汇总得分情况、评标结果等将在广汉市人民医院官网上采购结果公告栏中予以公告。</w:t>
      </w:r>
    </w:p>
    <w:p>
      <w:pPr>
        <w:pStyle w:val="50"/>
        <w:spacing w:beforeLines="0" w:afterLines="0" w:line="400" w:lineRule="exact"/>
        <w:ind w:firstLine="482"/>
        <w:rPr>
          <w:rFonts w:asciiTheme="minorEastAsia" w:hAnsiTheme="minorEastAsia" w:eastAsiaTheme="minorEastAsia"/>
          <w:b/>
        </w:rPr>
      </w:pPr>
      <w:bookmarkStart w:id="166" w:name="_Toc14185"/>
      <w:bookmarkStart w:id="167" w:name="_Toc26597"/>
      <w:bookmarkStart w:id="168" w:name="_Toc22521"/>
      <w:r>
        <w:rPr>
          <w:rFonts w:asciiTheme="minorEastAsia" w:hAnsiTheme="minorEastAsia" w:eastAsiaTheme="minorEastAsia"/>
          <w:b/>
          <w:sz w:val="24"/>
        </w:rPr>
        <w:t>26.</w:t>
      </w:r>
      <w:r>
        <w:rPr>
          <w:rFonts w:hint="eastAsia" w:asciiTheme="minorEastAsia" w:hAnsiTheme="minorEastAsia" w:eastAsiaTheme="minorEastAsia"/>
          <w:b/>
          <w:sz w:val="24"/>
        </w:rPr>
        <w:t>中标通知</w:t>
      </w:r>
      <w:bookmarkEnd w:id="162"/>
      <w:bookmarkEnd w:id="163"/>
      <w:r>
        <w:rPr>
          <w:rFonts w:hint="eastAsia" w:asciiTheme="minorEastAsia" w:hAnsiTheme="minorEastAsia" w:eastAsiaTheme="minorEastAsia"/>
          <w:b/>
          <w:sz w:val="24"/>
        </w:rPr>
        <w:t>书</w:t>
      </w:r>
      <w:bookmarkEnd w:id="164"/>
      <w:bookmarkEnd w:id="165"/>
      <w:bookmarkEnd w:id="166"/>
      <w:bookmarkEnd w:id="167"/>
      <w:bookmarkEnd w:id="168"/>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w:t>
      </w:r>
      <w:r>
        <w:rPr>
          <w:rFonts w:asciiTheme="minorEastAsia" w:hAnsiTheme="minorEastAsia" w:eastAsiaTheme="minorEastAsia"/>
          <w:bCs/>
          <w:sz w:val="24"/>
        </w:rPr>
        <w:t>.</w:t>
      </w:r>
      <w:r>
        <w:rPr>
          <w:rFonts w:asciiTheme="minorEastAsia" w:hAnsiTheme="minorEastAsia" w:eastAsiaTheme="minorEastAsia"/>
          <w:sz w:val="24"/>
        </w:rPr>
        <w:t xml:space="preserve">1 </w:t>
      </w:r>
      <w:r>
        <w:rPr>
          <w:rFonts w:hint="eastAsia" w:asciiTheme="minorEastAsia" w:hAnsiTheme="minorEastAsia" w:eastAsiaTheme="minorEastAsia"/>
          <w:sz w:val="24"/>
        </w:rPr>
        <w:t>中标通知书为签订采购合同的依据之一，是合同的有效组成部分。</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投标人中标后，拒绝领取中标通知书的，招标采购单位将于中标供应商确定之日起两个工作日内采取邮寄、快递方式按照投标人投标文件中的地址发出中标通知书。</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26.4</w:t>
      </w:r>
      <w:r>
        <w:rPr>
          <w:rFonts w:hint="eastAsia" w:asciiTheme="minorEastAsia" w:hAnsiTheme="minorEastAsia" w:eastAsiaTheme="minorEastAsia"/>
          <w:sz w:val="24"/>
        </w:rPr>
        <w:t>中标人的投标文件本应作为无效投标处理或者有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26.5</w:t>
      </w:r>
      <w:r>
        <w:rPr>
          <w:rFonts w:hint="eastAsia" w:asciiTheme="minorEastAsia" w:hAnsiTheme="minorEastAsia" w:eastAsiaTheme="minorEastAsia"/>
          <w:sz w:val="24"/>
        </w:rPr>
        <w:t>中标公告发出后，中标供应商自行领取中标通知书的，可凭有效身份证明证件到四川正通建设项目管理有限公司领取中标通知书。联系人：张先生，联系电话：</w:t>
      </w:r>
      <w:r>
        <w:rPr>
          <w:rFonts w:asciiTheme="minorEastAsia" w:hAnsiTheme="minorEastAsia" w:eastAsiaTheme="minorEastAsia"/>
          <w:sz w:val="24"/>
        </w:rPr>
        <w:t>0838-2852688</w:t>
      </w:r>
      <w:r>
        <w:rPr>
          <w:rFonts w:hint="eastAsia" w:asciiTheme="minorEastAsia" w:hAnsiTheme="minorEastAsia" w:eastAsiaTheme="minorEastAsia"/>
          <w:sz w:val="24"/>
        </w:rPr>
        <w:t>。</w:t>
      </w:r>
    </w:p>
    <w:p>
      <w:pPr>
        <w:pStyle w:val="50"/>
        <w:spacing w:beforeLines="0" w:afterLines="0" w:line="400" w:lineRule="exact"/>
        <w:ind w:firstLine="199" w:firstLineChars="62"/>
        <w:jc w:val="center"/>
        <w:rPr>
          <w:rFonts w:asciiTheme="minorEastAsia" w:hAnsiTheme="minorEastAsia" w:eastAsiaTheme="minorEastAsia"/>
          <w:b/>
        </w:rPr>
      </w:pPr>
      <w:bookmarkStart w:id="169" w:name="_Toc308164810"/>
      <w:bookmarkStart w:id="170" w:name="_Toc25645"/>
      <w:bookmarkStart w:id="171" w:name="_Toc7186"/>
      <w:bookmarkStart w:id="172" w:name="_Toc18677"/>
      <w:bookmarkStart w:id="173" w:name="_Toc217446064"/>
      <w:bookmarkStart w:id="174" w:name="_Toc183682377"/>
      <w:bookmarkStart w:id="175" w:name="_Toc183582240"/>
      <w:r>
        <w:rPr>
          <w:rFonts w:hint="eastAsia" w:asciiTheme="minorEastAsia" w:hAnsiTheme="minorEastAsia" w:eastAsiaTheme="minorEastAsia"/>
          <w:b/>
          <w:sz w:val="32"/>
        </w:rPr>
        <w:t>六、签订及履行合同和验收</w:t>
      </w:r>
      <w:bookmarkEnd w:id="169"/>
      <w:bookmarkEnd w:id="170"/>
      <w:bookmarkEnd w:id="171"/>
      <w:bookmarkEnd w:id="172"/>
      <w:bookmarkEnd w:id="173"/>
    </w:p>
    <w:p>
      <w:pPr>
        <w:pStyle w:val="50"/>
        <w:spacing w:beforeLines="0" w:afterLines="0" w:line="400" w:lineRule="exact"/>
        <w:ind w:firstLine="482"/>
        <w:rPr>
          <w:rFonts w:asciiTheme="minorEastAsia" w:hAnsiTheme="minorEastAsia" w:eastAsiaTheme="minorEastAsia"/>
          <w:b/>
        </w:rPr>
      </w:pPr>
      <w:bookmarkStart w:id="176" w:name="_Toc6936"/>
      <w:bookmarkStart w:id="177" w:name="_Toc17212"/>
      <w:bookmarkStart w:id="178" w:name="_Toc24252"/>
      <w:bookmarkStart w:id="179" w:name="_Toc308164811"/>
      <w:bookmarkStart w:id="180" w:name="_Toc217446065"/>
      <w:r>
        <w:rPr>
          <w:rFonts w:asciiTheme="minorEastAsia" w:hAnsiTheme="minorEastAsia" w:eastAsiaTheme="minorEastAsia"/>
          <w:b/>
          <w:sz w:val="24"/>
        </w:rPr>
        <w:t xml:space="preserve">27. </w:t>
      </w:r>
      <w:r>
        <w:rPr>
          <w:rFonts w:hint="eastAsia" w:asciiTheme="minorEastAsia" w:hAnsiTheme="minorEastAsia" w:eastAsiaTheme="minorEastAsia"/>
          <w:b/>
          <w:sz w:val="24"/>
        </w:rPr>
        <w:t>签订合同</w:t>
      </w:r>
      <w:bookmarkEnd w:id="176"/>
      <w:bookmarkEnd w:id="177"/>
      <w:bookmarkEnd w:id="178"/>
      <w:bookmarkEnd w:id="179"/>
      <w:bookmarkEnd w:id="180"/>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20" w:firstLineChars="175"/>
        <w:rPr>
          <w:rFonts w:asciiTheme="minorEastAsia" w:hAnsiTheme="minorEastAsia" w:eastAsiaTheme="minorEastAsia"/>
          <w:sz w:val="24"/>
        </w:rPr>
      </w:pPr>
      <w:r>
        <w:rPr>
          <w:rFonts w:asciiTheme="minorEastAsia" w:hAnsiTheme="minorEastAsia" w:eastAsiaTheme="minorEastAsia"/>
          <w:sz w:val="24"/>
        </w:rPr>
        <w:t xml:space="preserve">27.3 </w:t>
      </w:r>
      <w:r>
        <w:rPr>
          <w:rFonts w:hint="eastAsia" w:asciiTheme="minorEastAsia" w:hAnsiTheme="minorEastAsia" w:eastAsiaTheme="minorEastAsia"/>
          <w:sz w:val="24"/>
        </w:rPr>
        <w:t>中标人因不可抗力原因不能履行采购合同或放弃中标的，采购人可以与排在中标人之后第一位的中标候选人签订采购合同，以此类推。</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27.4 </w:t>
      </w:r>
      <w:r>
        <w:rPr>
          <w:rFonts w:hint="eastAsia" w:asciiTheme="minorEastAsia" w:hAnsiTheme="minorEastAsia" w:eastAsiaTheme="minorEastAsia"/>
          <w:sz w:val="24"/>
        </w:rPr>
        <w:t>中标人在合同签订之后3个工作日内，将签订的合同（一式六份）送四川正通建设项目管理有限公司进行合同编号。联系人：张先生，联系电话：</w:t>
      </w:r>
      <w:r>
        <w:rPr>
          <w:rFonts w:asciiTheme="minorEastAsia" w:hAnsiTheme="minorEastAsia" w:eastAsiaTheme="minorEastAsia"/>
          <w:sz w:val="24"/>
        </w:rPr>
        <w:t>0838-2852688</w:t>
      </w:r>
      <w:r>
        <w:rPr>
          <w:rFonts w:hint="eastAsia" w:asciiTheme="minorEastAsia" w:hAnsiTheme="minorEastAsia" w:eastAsiaTheme="minorEastAsia"/>
          <w:sz w:val="24"/>
        </w:rPr>
        <w:t>。</w:t>
      </w:r>
    </w:p>
    <w:p>
      <w:pPr>
        <w:pStyle w:val="50"/>
        <w:spacing w:beforeLines="0" w:afterLines="0" w:line="400" w:lineRule="exact"/>
        <w:ind w:firstLine="482"/>
        <w:rPr>
          <w:rFonts w:asciiTheme="minorEastAsia" w:hAnsiTheme="minorEastAsia" w:eastAsiaTheme="minorEastAsia"/>
          <w:b/>
          <w:sz w:val="24"/>
        </w:rPr>
      </w:pPr>
      <w:bookmarkStart w:id="181" w:name="_Toc14778"/>
      <w:bookmarkStart w:id="182" w:name="_Toc31548"/>
      <w:bookmarkStart w:id="183" w:name="_Toc19304"/>
      <w:r>
        <w:rPr>
          <w:rFonts w:asciiTheme="minorEastAsia" w:hAnsiTheme="minorEastAsia" w:eastAsiaTheme="minorEastAsia"/>
          <w:b/>
          <w:sz w:val="24"/>
        </w:rPr>
        <w:t xml:space="preserve">28. </w:t>
      </w:r>
      <w:r>
        <w:rPr>
          <w:rFonts w:hint="eastAsia" w:asciiTheme="minorEastAsia" w:hAnsiTheme="minorEastAsia" w:eastAsiaTheme="minorEastAsia"/>
          <w:b/>
          <w:sz w:val="24"/>
        </w:rPr>
        <w:t>合同分包（实质性要求）</w:t>
      </w:r>
      <w:bookmarkEnd w:id="181"/>
      <w:bookmarkEnd w:id="182"/>
      <w:bookmarkEnd w:id="183"/>
    </w:p>
    <w:p>
      <w:pPr>
        <w:spacing w:line="400" w:lineRule="exact"/>
        <w:ind w:firstLine="540" w:firstLineChars="225"/>
        <w:rPr>
          <w:rFonts w:asciiTheme="minorEastAsia" w:hAnsiTheme="minorEastAsia" w:eastAsiaTheme="minorEastAsia"/>
          <w:sz w:val="24"/>
        </w:rPr>
      </w:pPr>
      <w:r>
        <w:rPr>
          <w:rFonts w:asciiTheme="minorEastAsia" w:hAnsiTheme="minorEastAsia" w:eastAsiaTheme="minorEastAsia"/>
          <w:sz w:val="24"/>
        </w:rPr>
        <w:t>28.1</w:t>
      </w:r>
      <w:r>
        <w:rPr>
          <w:rFonts w:hint="eastAsia" w:asciiTheme="minorEastAsia" w:hAnsiTheme="minorEastAsia" w:eastAsiaTheme="minorEastAsia"/>
          <w:sz w:val="24"/>
        </w:rPr>
        <w:t>本项目不接受分包。</w:t>
      </w:r>
    </w:p>
    <w:p>
      <w:pPr>
        <w:pStyle w:val="50"/>
        <w:spacing w:beforeLines="0" w:afterLines="0" w:line="400" w:lineRule="exact"/>
        <w:ind w:firstLine="482"/>
        <w:rPr>
          <w:rFonts w:asciiTheme="minorEastAsia" w:hAnsiTheme="minorEastAsia" w:eastAsiaTheme="minorEastAsia"/>
          <w:b/>
        </w:rPr>
      </w:pPr>
      <w:bookmarkStart w:id="184" w:name="_Toc1012"/>
      <w:bookmarkStart w:id="185" w:name="_Toc4143"/>
      <w:bookmarkStart w:id="186" w:name="_Toc29243"/>
      <w:r>
        <w:rPr>
          <w:rFonts w:asciiTheme="minorEastAsia" w:hAnsiTheme="minorEastAsia" w:eastAsiaTheme="minorEastAsia"/>
          <w:b/>
          <w:sz w:val="24"/>
        </w:rPr>
        <w:t>29.</w:t>
      </w:r>
      <w:r>
        <w:rPr>
          <w:rFonts w:hint="eastAsia" w:asciiTheme="minorEastAsia" w:hAnsiTheme="minorEastAsia" w:eastAsiaTheme="minorEastAsia"/>
          <w:b/>
          <w:sz w:val="24"/>
        </w:rPr>
        <w:t>合同转包（实质性要求）</w:t>
      </w:r>
      <w:bookmarkEnd w:id="184"/>
      <w:bookmarkEnd w:id="185"/>
      <w:bookmarkEnd w:id="186"/>
    </w:p>
    <w:p>
      <w:pPr>
        <w:spacing w:line="400" w:lineRule="exact"/>
        <w:ind w:firstLine="540" w:firstLineChars="225"/>
        <w:rPr>
          <w:rFonts w:asciiTheme="minorEastAsia" w:hAnsiTheme="minorEastAsia" w:eastAsiaTheme="minorEastAsia"/>
          <w:sz w:val="24"/>
        </w:rPr>
      </w:pPr>
      <w:r>
        <w:rPr>
          <w:rFonts w:hint="eastAsia" w:asciiTheme="minorEastAsia" w:hAnsiTheme="minorEastAsia" w:eastAsiaTheme="minorEastAsia"/>
          <w:sz w:val="24"/>
        </w:rPr>
        <w:t>本采购项目严禁中标人将任何采购合同义务转包。本项目所称转包，是指中标人将采购合同义务转让给第三人，并退出现有采购合同当事人双方的权利义务关系，受让人（即第三人）成为采购合同的另一方当事人的行为。</w:t>
      </w:r>
    </w:p>
    <w:p>
      <w:pPr>
        <w:spacing w:line="400" w:lineRule="exact"/>
        <w:ind w:firstLine="540" w:firstLineChars="225"/>
        <w:rPr>
          <w:rFonts w:asciiTheme="minorEastAsia" w:hAnsiTheme="minorEastAsia" w:eastAsiaTheme="minorEastAsia"/>
          <w:sz w:val="24"/>
        </w:rPr>
      </w:pPr>
      <w:r>
        <w:rPr>
          <w:rFonts w:hint="eastAsia" w:asciiTheme="minorEastAsia" w:hAnsiTheme="minorEastAsia" w:eastAsiaTheme="minorEastAsia"/>
          <w:sz w:val="24"/>
        </w:rPr>
        <w:t>中标人转包的，视同拒绝履行采购合同义务，将依法追究法律责任。</w:t>
      </w:r>
    </w:p>
    <w:p>
      <w:pPr>
        <w:pStyle w:val="50"/>
        <w:spacing w:beforeLines="0" w:afterLines="0" w:line="400" w:lineRule="exact"/>
        <w:ind w:firstLine="482"/>
        <w:jc w:val="left"/>
        <w:rPr>
          <w:rFonts w:asciiTheme="minorEastAsia" w:hAnsiTheme="minorEastAsia" w:eastAsiaTheme="minorEastAsia"/>
          <w:b/>
        </w:rPr>
      </w:pPr>
      <w:bookmarkStart w:id="187" w:name="_Toc217446066"/>
      <w:bookmarkStart w:id="188" w:name="_Toc4783"/>
      <w:bookmarkStart w:id="189" w:name="_Toc16436"/>
      <w:bookmarkStart w:id="190" w:name="_Toc27662"/>
      <w:r>
        <w:rPr>
          <w:rFonts w:asciiTheme="minorEastAsia" w:hAnsiTheme="minorEastAsia" w:eastAsiaTheme="minorEastAsia"/>
          <w:b/>
          <w:sz w:val="24"/>
        </w:rPr>
        <w:t>30.</w:t>
      </w:r>
      <w:bookmarkEnd w:id="187"/>
      <w:r>
        <w:rPr>
          <w:rFonts w:asciiTheme="minorEastAsia" w:hAnsiTheme="minorEastAsia" w:eastAsiaTheme="minorEastAsia"/>
          <w:b/>
          <w:sz w:val="24"/>
        </w:rPr>
        <w:t xml:space="preserve"> </w:t>
      </w:r>
      <w:r>
        <w:rPr>
          <w:rFonts w:hint="eastAsia" w:asciiTheme="minorEastAsia" w:hAnsiTheme="minorEastAsia" w:eastAsiaTheme="minorEastAsia"/>
          <w:b/>
          <w:sz w:val="24"/>
        </w:rPr>
        <w:t>补充合同</w:t>
      </w:r>
      <w:bookmarkEnd w:id="188"/>
      <w:bookmarkEnd w:id="189"/>
      <w:bookmarkEnd w:id="190"/>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r>
        <w:rPr>
          <w:rFonts w:asciiTheme="minorEastAsia" w:hAnsiTheme="minorEastAsia" w:eastAsiaTheme="minorEastAsia"/>
          <w:sz w:val="24"/>
        </w:rPr>
        <w:t xml:space="preserve"> </w:t>
      </w:r>
    </w:p>
    <w:p>
      <w:pPr>
        <w:pStyle w:val="50"/>
        <w:spacing w:beforeLines="0" w:afterLines="0" w:line="400" w:lineRule="exact"/>
        <w:ind w:firstLine="482"/>
        <w:rPr>
          <w:rFonts w:asciiTheme="minorEastAsia" w:hAnsiTheme="minorEastAsia" w:eastAsiaTheme="minorEastAsia"/>
          <w:b/>
          <w:sz w:val="24"/>
        </w:rPr>
      </w:pPr>
      <w:bookmarkStart w:id="191" w:name="_Toc308164812"/>
      <w:bookmarkStart w:id="192" w:name="_Toc217446068"/>
      <w:bookmarkStart w:id="193" w:name="_Toc6378"/>
      <w:bookmarkStart w:id="194" w:name="_Toc32254"/>
      <w:bookmarkStart w:id="195" w:name="_Toc12207"/>
      <w:r>
        <w:rPr>
          <w:rFonts w:asciiTheme="minorEastAsia" w:hAnsiTheme="minorEastAsia" w:eastAsiaTheme="minorEastAsia"/>
          <w:b/>
          <w:sz w:val="24"/>
        </w:rPr>
        <w:t xml:space="preserve">31. </w:t>
      </w:r>
      <w:r>
        <w:rPr>
          <w:rFonts w:hint="eastAsia" w:asciiTheme="minorEastAsia" w:hAnsiTheme="minorEastAsia" w:eastAsiaTheme="minorEastAsia"/>
          <w:b/>
          <w:sz w:val="24"/>
        </w:rPr>
        <w:t>履约保证金</w:t>
      </w:r>
      <w:bookmarkEnd w:id="191"/>
      <w:bookmarkEnd w:id="192"/>
      <w:r>
        <w:rPr>
          <w:rFonts w:hint="eastAsia" w:asciiTheme="minorEastAsia" w:hAnsiTheme="minorEastAsia" w:eastAsiaTheme="minorEastAsia"/>
          <w:b/>
          <w:sz w:val="24"/>
        </w:rPr>
        <w:t>（实质性要求）</w:t>
      </w:r>
      <w:bookmarkEnd w:id="193"/>
      <w:bookmarkEnd w:id="194"/>
      <w:bookmarkEnd w:id="195"/>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本项目不收取履约保证金</w:t>
      </w:r>
    </w:p>
    <w:p>
      <w:pPr>
        <w:pStyle w:val="50"/>
        <w:spacing w:beforeLines="0" w:afterLines="0" w:line="400" w:lineRule="exact"/>
        <w:ind w:firstLine="482"/>
        <w:rPr>
          <w:rFonts w:asciiTheme="minorEastAsia" w:hAnsiTheme="minorEastAsia" w:eastAsiaTheme="minorEastAsia"/>
          <w:b/>
          <w:sz w:val="24"/>
        </w:rPr>
      </w:pPr>
      <w:bookmarkStart w:id="196" w:name="_Toc308164813"/>
      <w:bookmarkStart w:id="197" w:name="_Toc31232"/>
      <w:bookmarkStart w:id="198" w:name="_Toc32103"/>
      <w:bookmarkStart w:id="199" w:name="_Toc467"/>
      <w:bookmarkStart w:id="200" w:name="_Toc217446069"/>
      <w:r>
        <w:rPr>
          <w:rFonts w:asciiTheme="minorEastAsia" w:hAnsiTheme="minorEastAsia" w:eastAsiaTheme="minorEastAsia"/>
          <w:b/>
          <w:sz w:val="24"/>
        </w:rPr>
        <w:t>3</w:t>
      </w: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b/>
          <w:sz w:val="24"/>
        </w:rPr>
        <w:t>履行合同</w:t>
      </w:r>
      <w:bookmarkEnd w:id="196"/>
      <w:bookmarkEnd w:id="197"/>
      <w:bookmarkEnd w:id="198"/>
      <w:bookmarkEnd w:id="199"/>
      <w:bookmarkEnd w:id="200"/>
    </w:p>
    <w:p>
      <w:pPr>
        <w:spacing w:line="400" w:lineRule="exact"/>
        <w:rPr>
          <w:rFonts w:asciiTheme="minorEastAsia" w:hAnsiTheme="minorEastAsia" w:eastAsiaTheme="minorEastAsia"/>
          <w:sz w:val="24"/>
        </w:rPr>
      </w:pPr>
      <w:r>
        <w:rPr>
          <w:rFonts w:asciiTheme="minorEastAsia" w:hAnsiTheme="minorEastAsia" w:eastAsiaTheme="minorEastAsia"/>
          <w:sz w:val="24"/>
        </w:rPr>
        <w:t xml:space="preserve">   3</w:t>
      </w:r>
      <w:r>
        <w:rPr>
          <w:rFonts w:hint="eastAsia" w:asciiTheme="minorEastAsia" w:hAnsiTheme="minorEastAsia" w:eastAsiaTheme="minorEastAsia"/>
          <w:sz w:val="24"/>
        </w:rPr>
        <w:t>2</w:t>
      </w:r>
      <w:r>
        <w:rPr>
          <w:rFonts w:asciiTheme="minorEastAsia" w:hAnsiTheme="minorEastAsia" w:eastAsiaTheme="minorEastAsia"/>
          <w:sz w:val="24"/>
        </w:rPr>
        <w:t xml:space="preserve">.1 </w:t>
      </w:r>
      <w:r>
        <w:rPr>
          <w:rFonts w:hint="eastAsia" w:asciiTheme="minorEastAsia" w:hAnsiTheme="minorEastAsia" w:eastAsiaTheme="minorEastAsia"/>
          <w:sz w:val="24"/>
        </w:rPr>
        <w:t>中标人与采购人签订合同后，合同双方应严格执行合同条款，履行合同规定的义务，保证合同的顺利完成。</w:t>
      </w:r>
    </w:p>
    <w:p>
      <w:pPr>
        <w:spacing w:line="400" w:lineRule="exact"/>
        <w:rPr>
          <w:rFonts w:asciiTheme="minorEastAsia" w:hAnsiTheme="minorEastAsia" w:eastAsiaTheme="minorEastAsia"/>
          <w:sz w:val="24"/>
        </w:rPr>
      </w:pPr>
      <w:r>
        <w:rPr>
          <w:rFonts w:asciiTheme="minorEastAsia" w:hAnsiTheme="minorEastAsia" w:eastAsiaTheme="minorEastAsia"/>
          <w:sz w:val="24"/>
        </w:rPr>
        <w:t xml:space="preserve">   3</w:t>
      </w:r>
      <w:r>
        <w:rPr>
          <w:rFonts w:hint="eastAsia" w:asciiTheme="minorEastAsia" w:hAnsiTheme="minorEastAsia" w:eastAsiaTheme="minorEastAsia"/>
          <w:sz w:val="24"/>
        </w:rPr>
        <w:t>2</w:t>
      </w:r>
      <w:r>
        <w:rPr>
          <w:rFonts w:asciiTheme="minorEastAsia" w:hAnsiTheme="minorEastAsia" w:eastAsiaTheme="minorEastAsia"/>
          <w:sz w:val="24"/>
        </w:rPr>
        <w:t xml:space="preserve">.2 </w:t>
      </w:r>
      <w:r>
        <w:rPr>
          <w:rFonts w:hint="eastAsia" w:asciiTheme="minorEastAsia" w:hAnsiTheme="minorEastAsia" w:eastAsiaTheme="minorEastAsia"/>
          <w:sz w:val="24"/>
        </w:rPr>
        <w:t>在合同履行过程中，如发生合同纠纷，合同双方应按照《合同法》的有关规定进行处理。</w:t>
      </w:r>
    </w:p>
    <w:p>
      <w:pPr>
        <w:pStyle w:val="50"/>
        <w:spacing w:beforeLines="0" w:afterLines="0" w:line="400" w:lineRule="exact"/>
        <w:ind w:firstLine="482"/>
        <w:rPr>
          <w:rFonts w:asciiTheme="minorEastAsia" w:hAnsiTheme="minorEastAsia" w:eastAsiaTheme="minorEastAsia"/>
          <w:b/>
          <w:sz w:val="24"/>
        </w:rPr>
      </w:pPr>
      <w:bookmarkStart w:id="201" w:name="_Toc22166"/>
      <w:bookmarkStart w:id="202" w:name="_Toc28503"/>
      <w:bookmarkStart w:id="203" w:name="_Toc15517"/>
      <w:bookmarkStart w:id="204" w:name="_Toc217446070"/>
      <w:bookmarkStart w:id="205" w:name="_Toc308164814"/>
      <w:r>
        <w:rPr>
          <w:rFonts w:asciiTheme="minorEastAsia" w:hAnsiTheme="minorEastAsia" w:eastAsiaTheme="minorEastAsia"/>
          <w:b/>
          <w:sz w:val="24"/>
        </w:rPr>
        <w:t>3</w:t>
      </w: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b/>
          <w:sz w:val="24"/>
        </w:rPr>
        <w:t>验收</w:t>
      </w:r>
      <w:bookmarkEnd w:id="201"/>
      <w:bookmarkEnd w:id="202"/>
      <w:bookmarkEnd w:id="203"/>
      <w:bookmarkEnd w:id="204"/>
      <w:bookmarkEnd w:id="205"/>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Theme="minorEastAsia" w:hAnsiTheme="minorEastAsia" w:eastAsiaTheme="minorEastAsia"/>
          <w:sz w:val="24"/>
        </w:rPr>
        <w:t>本项目采购人及其委托的采购代理机构将严格按照采购相关法律法规以及《四川省政府采购项目需求论证和履约验收管理办法》（川财采〔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32</w:t>
      </w:r>
      <w:r>
        <w:rPr>
          <w:rFonts w:hint="eastAsia" w:asciiTheme="minorEastAsia" w:hAnsiTheme="minorEastAsia" w:eastAsiaTheme="minorEastAsia"/>
          <w:sz w:val="24"/>
        </w:rPr>
        <w:t>号）的要求进行验收。</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.2</w:t>
      </w:r>
      <w:r>
        <w:rPr>
          <w:rFonts w:hint="eastAsia" w:asciiTheme="minorEastAsia" w:hAnsiTheme="minorEastAsia" w:eastAsiaTheme="minorEastAsia"/>
          <w:sz w:val="24"/>
        </w:rPr>
        <w:t>验收结果不合格的将不予支付采购资金，还可能会报告本项目同级财政部门按照采购法律法规及《四川省政府采购当事人诚信管理办法》（川财采〔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33</w:t>
      </w:r>
      <w:r>
        <w:rPr>
          <w:rFonts w:hint="eastAsia" w:asciiTheme="minorEastAsia" w:hAnsiTheme="minorEastAsia" w:eastAsiaTheme="minorEastAsia"/>
          <w:sz w:val="24"/>
        </w:rPr>
        <w:t>号）等有关规定给予行政处罚或者以失信行为记入诚信档案。</w:t>
      </w:r>
      <w:bookmarkStart w:id="206" w:name="_Toc217446071"/>
    </w:p>
    <w:p>
      <w:pPr>
        <w:pStyle w:val="50"/>
        <w:spacing w:beforeLines="0" w:afterLines="0" w:line="400" w:lineRule="exact"/>
        <w:ind w:firstLine="482"/>
        <w:rPr>
          <w:rFonts w:asciiTheme="minorEastAsia" w:hAnsiTheme="minorEastAsia" w:eastAsiaTheme="minorEastAsia"/>
          <w:b/>
          <w:sz w:val="24"/>
        </w:rPr>
      </w:pPr>
      <w:bookmarkStart w:id="207" w:name="_Toc23419"/>
      <w:bookmarkStart w:id="208" w:name="_Toc217446077"/>
      <w:bookmarkStart w:id="209" w:name="_Toc25181"/>
      <w:bookmarkStart w:id="210" w:name="_Toc308164818"/>
      <w:bookmarkStart w:id="211" w:name="_Toc27691"/>
      <w:r>
        <w:rPr>
          <w:rFonts w:asciiTheme="minorEastAsia" w:hAnsiTheme="minorEastAsia" w:eastAsiaTheme="minorEastAsia"/>
          <w:b/>
          <w:sz w:val="24"/>
        </w:rPr>
        <w:t>3</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资金支付</w:t>
      </w:r>
      <w:bookmarkEnd w:id="207"/>
      <w:bookmarkEnd w:id="208"/>
      <w:bookmarkEnd w:id="209"/>
      <w:bookmarkEnd w:id="210"/>
      <w:bookmarkEnd w:id="211"/>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采购人将按照采购合同规定，及时向中标供应商支付采购资金。本项目采购资金采取直接支付，支付程序见第六章。</w:t>
      </w:r>
    </w:p>
    <w:bookmarkEnd w:id="174"/>
    <w:bookmarkEnd w:id="175"/>
    <w:bookmarkEnd w:id="206"/>
    <w:p>
      <w:pPr>
        <w:pStyle w:val="50"/>
        <w:spacing w:beforeLines="0" w:afterLines="0" w:line="400" w:lineRule="exact"/>
        <w:ind w:firstLine="643"/>
        <w:jc w:val="center"/>
        <w:rPr>
          <w:rFonts w:asciiTheme="minorEastAsia" w:hAnsiTheme="minorEastAsia" w:eastAsiaTheme="minorEastAsia"/>
          <w:b/>
          <w:sz w:val="32"/>
          <w:szCs w:val="32"/>
        </w:rPr>
      </w:pPr>
      <w:bookmarkStart w:id="212" w:name="_Toc217446074"/>
      <w:bookmarkStart w:id="213" w:name="_Toc308164815"/>
      <w:bookmarkStart w:id="214" w:name="_Toc15509"/>
      <w:bookmarkStart w:id="215" w:name="_Toc4242"/>
      <w:bookmarkStart w:id="216" w:name="_Toc18371"/>
      <w:bookmarkStart w:id="217" w:name="_Toc183682380"/>
      <w:bookmarkStart w:id="218" w:name="_Toc183582243"/>
      <w:r>
        <w:rPr>
          <w:rFonts w:hint="eastAsia" w:asciiTheme="minorEastAsia" w:hAnsiTheme="minorEastAsia" w:eastAsiaTheme="minorEastAsia"/>
          <w:b/>
          <w:sz w:val="32"/>
          <w:szCs w:val="32"/>
        </w:rPr>
        <w:t>七、投标纪律要求</w:t>
      </w:r>
      <w:bookmarkEnd w:id="212"/>
      <w:bookmarkEnd w:id="213"/>
      <w:bookmarkEnd w:id="214"/>
      <w:bookmarkEnd w:id="215"/>
      <w:bookmarkEnd w:id="216"/>
    </w:p>
    <w:p>
      <w:pPr>
        <w:pStyle w:val="50"/>
        <w:spacing w:beforeLines="0" w:afterLines="0" w:line="400" w:lineRule="exact"/>
        <w:ind w:firstLine="482"/>
        <w:rPr>
          <w:rFonts w:asciiTheme="minorEastAsia" w:hAnsiTheme="minorEastAsia" w:eastAsiaTheme="minorEastAsia"/>
          <w:b/>
          <w:sz w:val="24"/>
        </w:rPr>
      </w:pPr>
      <w:bookmarkStart w:id="219" w:name="_Toc217446075"/>
      <w:bookmarkStart w:id="220" w:name="_Toc308164816"/>
      <w:bookmarkStart w:id="221" w:name="_Toc1709"/>
      <w:bookmarkStart w:id="222" w:name="_Toc7766"/>
      <w:bookmarkStart w:id="223" w:name="_Toc7890"/>
      <w:r>
        <w:rPr>
          <w:rFonts w:asciiTheme="minorEastAsia" w:hAnsiTheme="minorEastAsia" w:eastAsiaTheme="minorEastAsia"/>
          <w:b/>
          <w:sz w:val="24"/>
        </w:rPr>
        <w:t>3</w:t>
      </w: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b/>
          <w:sz w:val="24"/>
        </w:rPr>
        <w:t>投标人不得具有的情形</w:t>
      </w:r>
      <w:bookmarkEnd w:id="219"/>
      <w:bookmarkEnd w:id="220"/>
      <w:bookmarkEnd w:id="221"/>
      <w:bookmarkEnd w:id="222"/>
      <w:bookmarkEnd w:id="223"/>
    </w:p>
    <w:p>
      <w:pPr>
        <w:pStyle w:val="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投标人参加本项目投标不得有下列情形：</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）提供虚假材料谋取中标；</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）采取不正当手段诋毁、排挤其他投标人；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）与招标采购单位、其他投标人恶意串通；</w:t>
      </w:r>
    </w:p>
    <w:p>
      <w:pPr>
        <w:spacing w:line="400" w:lineRule="exact"/>
        <w:ind w:left="489" w:leftChars="233"/>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）向招标采购单位、评标委员会成员行贿或者提供其他不正当利益；</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）在招标过程中与招标采购单位进行协商谈判；</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）中标或者成交后无正当理由拒不与采购人签订采购合同；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）未按照采购文件确定的事项签订采购合同；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）将采购合同转包或者违规分包；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9</w:t>
      </w:r>
      <w:r>
        <w:rPr>
          <w:rFonts w:hint="eastAsia" w:asciiTheme="minorEastAsia" w:hAnsiTheme="minorEastAsia" w:eastAsiaTheme="minorEastAsia"/>
          <w:sz w:val="24"/>
        </w:rPr>
        <w:t>）提供假冒伪劣产品；</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10</w:t>
      </w:r>
      <w:r>
        <w:rPr>
          <w:rFonts w:hint="eastAsia" w:asciiTheme="minorEastAsia" w:hAnsiTheme="minorEastAsia" w:eastAsiaTheme="minorEastAsia"/>
          <w:sz w:val="24"/>
        </w:rPr>
        <w:t>）擅自变更、中止或者终止采购合同；</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11</w:t>
      </w:r>
      <w:r>
        <w:rPr>
          <w:rFonts w:hint="eastAsia" w:asciiTheme="minorEastAsia" w:hAnsiTheme="minorEastAsia" w:eastAsiaTheme="minorEastAsia"/>
          <w:sz w:val="24"/>
        </w:rPr>
        <w:t>）拒绝有关部门的监督检查或者向监督检查部门提供虚假情况；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12</w:t>
      </w:r>
      <w:r>
        <w:rPr>
          <w:rFonts w:hint="eastAsia" w:asciiTheme="minorEastAsia" w:hAnsiTheme="minorEastAsia" w:eastAsiaTheme="minorEastAsia"/>
          <w:sz w:val="24"/>
        </w:rPr>
        <w:t>）法律法规规定的其他情形。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投标人有上述情形的，按照规定追究法律责任，具备（</w:t>
      </w: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10</w:t>
      </w:r>
      <w:r>
        <w:rPr>
          <w:rFonts w:hint="eastAsia" w:asciiTheme="minorEastAsia" w:hAnsiTheme="minorEastAsia" w:eastAsiaTheme="minorEastAsia"/>
          <w:sz w:val="24"/>
        </w:rPr>
        <w:t>）条情形之一的，同时将取消中标资格或者认定中标无效。</w:t>
      </w:r>
    </w:p>
    <w:bookmarkEnd w:id="217"/>
    <w:bookmarkEnd w:id="218"/>
    <w:p>
      <w:pPr>
        <w:pStyle w:val="50"/>
        <w:spacing w:beforeLines="0" w:afterLines="0" w:line="400" w:lineRule="exact"/>
        <w:ind w:firstLine="643"/>
        <w:jc w:val="center"/>
        <w:rPr>
          <w:rFonts w:asciiTheme="minorEastAsia" w:hAnsiTheme="minorEastAsia" w:eastAsiaTheme="minorEastAsia"/>
          <w:b/>
        </w:rPr>
      </w:pPr>
      <w:bookmarkStart w:id="224" w:name="_Toc3898"/>
      <w:bookmarkStart w:id="225" w:name="_Toc29498"/>
      <w:bookmarkStart w:id="226" w:name="_Toc21735"/>
      <w:r>
        <w:rPr>
          <w:rFonts w:hint="eastAsia" w:asciiTheme="minorEastAsia" w:hAnsiTheme="minorEastAsia" w:eastAsiaTheme="minorEastAsia"/>
          <w:b/>
          <w:sz w:val="32"/>
        </w:rPr>
        <w:t>八、其他</w:t>
      </w:r>
      <w:bookmarkEnd w:id="224"/>
      <w:bookmarkEnd w:id="225"/>
      <w:bookmarkEnd w:id="226"/>
    </w:p>
    <w:p>
      <w:pPr>
        <w:pStyle w:val="50"/>
        <w:spacing w:before="36" w:after="36" w:line="400" w:lineRule="exact"/>
        <w:ind w:firstLine="482"/>
        <w:rPr>
          <w:rFonts w:asciiTheme="minorEastAsia" w:hAnsiTheme="minorEastAsia" w:eastAsiaTheme="minorEastAsia"/>
          <w:sz w:val="24"/>
        </w:rPr>
      </w:pPr>
      <w:bookmarkStart w:id="227" w:name="_Toc6447"/>
      <w:bookmarkStart w:id="228" w:name="_Toc26157"/>
      <w:bookmarkStart w:id="229" w:name="_Toc24069"/>
      <w:r>
        <w:rPr>
          <w:rFonts w:asciiTheme="minorEastAsia" w:hAnsiTheme="minorEastAsia" w:eastAsiaTheme="minorEastAsia"/>
          <w:b/>
          <w:sz w:val="24"/>
        </w:rPr>
        <w:t>3</w:t>
      </w: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sz w:val="24"/>
        </w:rPr>
        <w:t>本招标文件中所引相关法律制度规定，在采购中有变化的，按照变化后的相关法律制度规定执行。本章和第七章中“</w:t>
      </w:r>
      <w:r>
        <w:rPr>
          <w:rFonts w:asciiTheme="minorEastAsia" w:hAnsiTheme="minorEastAsia" w:eastAsiaTheme="minorEastAsia"/>
          <w:sz w:val="24"/>
        </w:rPr>
        <w:t>1.</w:t>
      </w:r>
      <w:r>
        <w:rPr>
          <w:rFonts w:hint="eastAsia" w:asciiTheme="minorEastAsia" w:hAnsiTheme="minorEastAsia" w:eastAsiaTheme="minorEastAsia"/>
          <w:sz w:val="24"/>
        </w:rPr>
        <w:t>总则、</w:t>
      </w:r>
      <w:r>
        <w:rPr>
          <w:rFonts w:asciiTheme="minorEastAsia" w:hAnsiTheme="minorEastAsia" w:eastAsiaTheme="minorEastAsia"/>
          <w:sz w:val="24"/>
        </w:rPr>
        <w:t>2.</w:t>
      </w:r>
      <w:r>
        <w:rPr>
          <w:rFonts w:hint="eastAsia" w:asciiTheme="minorEastAsia" w:hAnsiTheme="minorEastAsia" w:eastAsiaTheme="minorEastAsia"/>
          <w:sz w:val="24"/>
        </w:rPr>
        <w:t>评标方法、</w:t>
      </w:r>
      <w:r>
        <w:rPr>
          <w:rFonts w:asciiTheme="minorEastAsia" w:hAnsiTheme="minorEastAsia" w:eastAsiaTheme="minorEastAsia"/>
          <w:sz w:val="24"/>
        </w:rPr>
        <w:t>3.</w:t>
      </w:r>
      <w:r>
        <w:rPr>
          <w:rFonts w:hint="eastAsia" w:asciiTheme="minorEastAsia" w:hAnsiTheme="minorEastAsia" w:eastAsiaTheme="minorEastAsia"/>
          <w:sz w:val="24"/>
        </w:rPr>
        <w:t>评标程序”规定的内容条款，在本项目投标截止时间届满后，因相关法律制度规定的变化导致不符合相关法律制度规定的，直接按照变化后的相关法律制度规定执行，本招标文件不再做调整。</w:t>
      </w:r>
      <w:bookmarkEnd w:id="227"/>
      <w:bookmarkEnd w:id="228"/>
      <w:bookmarkEnd w:id="229"/>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bCs/>
          <w:sz w:val="36"/>
          <w:szCs w:val="36"/>
        </w:rPr>
      </w:pPr>
      <w:bookmarkStart w:id="230" w:name="_Toc6244"/>
      <w:bookmarkStart w:id="231" w:name="_Toc14655"/>
      <w:bookmarkStart w:id="232" w:name="_Toc2602458"/>
      <w:bookmarkStart w:id="233" w:name="_Toc217446083"/>
      <w:r>
        <w:rPr>
          <w:rFonts w:hint="eastAsia" w:asciiTheme="minorEastAsia" w:hAnsiTheme="minorEastAsia" w:eastAsiaTheme="minorEastAsia"/>
          <w:bCs/>
          <w:sz w:val="36"/>
          <w:szCs w:val="36"/>
        </w:rPr>
        <w:t>第三章</w:t>
      </w:r>
      <w:r>
        <w:rPr>
          <w:rFonts w:asciiTheme="minorEastAsia" w:hAnsiTheme="minorEastAsia" w:eastAsiaTheme="minorEastAsia"/>
          <w:bCs/>
          <w:sz w:val="36"/>
          <w:szCs w:val="36"/>
        </w:rPr>
        <w:t xml:space="preserve"> </w:t>
      </w:r>
      <w:r>
        <w:rPr>
          <w:rFonts w:hint="eastAsia" w:asciiTheme="minorEastAsia" w:hAnsiTheme="minorEastAsia" w:eastAsiaTheme="minorEastAsia"/>
          <w:bCs/>
          <w:sz w:val="36"/>
          <w:szCs w:val="36"/>
        </w:rPr>
        <w:t>投标文件格式</w:t>
      </w:r>
      <w:bookmarkEnd w:id="230"/>
      <w:bookmarkEnd w:id="231"/>
      <w:bookmarkEnd w:id="232"/>
      <w:bookmarkStart w:id="234" w:name="_Toc308164821"/>
      <w:bookmarkStart w:id="235" w:name="_Toc217446082"/>
    </w:p>
    <w:p>
      <w:pPr>
        <w:pStyle w:val="50"/>
        <w:spacing w:before="36" w:after="36" w:line="400" w:lineRule="exact"/>
        <w:ind w:firstLine="480"/>
        <w:rPr>
          <w:rFonts w:asciiTheme="minorEastAsia" w:hAnsiTheme="minorEastAsia" w:eastAsiaTheme="minorEastAsia"/>
          <w:sz w:val="24"/>
        </w:rPr>
      </w:pPr>
      <w:bookmarkStart w:id="236" w:name="_Toc18363"/>
      <w:bookmarkStart w:id="237" w:name="_Toc13629"/>
      <w:bookmarkStart w:id="238" w:name="_Toc323"/>
      <w:r>
        <w:rPr>
          <w:rFonts w:hint="eastAsia" w:asciiTheme="minorEastAsia" w:hAnsiTheme="minorEastAsia" w:eastAsiaTheme="minor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bookmarkEnd w:id="236"/>
      <w:bookmarkEnd w:id="237"/>
      <w:bookmarkEnd w:id="238"/>
    </w:p>
    <w:p>
      <w:pPr>
        <w:pStyle w:val="50"/>
        <w:spacing w:before="36" w:after="36" w:line="400" w:lineRule="exact"/>
        <w:ind w:firstLine="480"/>
        <w:rPr>
          <w:rFonts w:asciiTheme="minorEastAsia" w:hAnsiTheme="minorEastAsia" w:eastAsiaTheme="minorEastAsia"/>
          <w:sz w:val="24"/>
        </w:rPr>
      </w:pPr>
      <w:bookmarkStart w:id="239" w:name="_Toc26181"/>
      <w:bookmarkStart w:id="240" w:name="_Toc14039"/>
      <w:bookmarkStart w:id="241" w:name="_Toc7678"/>
      <w:r>
        <w:rPr>
          <w:rFonts w:hint="eastAsia" w:asciiTheme="minorEastAsia" w:hAnsiTheme="minorEastAsia" w:eastAsiaTheme="minorEastAsia"/>
          <w:sz w:val="24"/>
        </w:rPr>
        <w:t>二、本章所制投标文件格式有关表格中的备注栏，由投标人根据自身投标情况作解释性说明，不作为必填项。</w:t>
      </w:r>
      <w:bookmarkEnd w:id="239"/>
      <w:bookmarkEnd w:id="240"/>
      <w:bookmarkEnd w:id="241"/>
    </w:p>
    <w:p>
      <w:pPr>
        <w:pStyle w:val="50"/>
        <w:spacing w:before="36" w:after="36" w:line="400" w:lineRule="exact"/>
        <w:ind w:firstLine="480"/>
        <w:rPr>
          <w:rFonts w:asciiTheme="minorEastAsia" w:hAnsiTheme="minorEastAsia" w:eastAsiaTheme="minorEastAsia"/>
        </w:rPr>
      </w:pPr>
      <w:bookmarkStart w:id="242" w:name="_Toc4536"/>
      <w:bookmarkStart w:id="243" w:name="_Toc10926"/>
      <w:bookmarkStart w:id="244" w:name="_Toc9177"/>
      <w:r>
        <w:rPr>
          <w:rFonts w:hint="eastAsia" w:asciiTheme="minorEastAsia" w:hAnsiTheme="minorEastAsia" w:eastAsiaTheme="minorEastAsia"/>
          <w:sz w:val="24"/>
        </w:rPr>
        <w:t>三、本章所制投标文件格式中需要填写的相关内容事项，可能会与本采购项目无关，在不改变投标文件原义、不影响本项目采购需求的情况下，投标人可以不予填写，但应当注明。</w:t>
      </w:r>
      <w:bookmarkEnd w:id="242"/>
      <w:bookmarkEnd w:id="243"/>
      <w:bookmarkEnd w:id="244"/>
    </w:p>
    <w:p>
      <w:pPr>
        <w:widowControl/>
        <w:spacing w:line="360" w:lineRule="atLeast"/>
        <w:outlineLvl w:val="1"/>
        <w:rPr>
          <w:rFonts w:asciiTheme="minorEastAsia" w:hAnsiTheme="minorEastAsia" w:eastAsiaTheme="minorEastAsia"/>
          <w:sz w:val="24"/>
        </w:rPr>
      </w:pPr>
    </w:p>
    <w:p>
      <w:pPr>
        <w:pStyle w:val="50"/>
        <w:spacing w:before="36" w:after="36"/>
        <w:ind w:firstLine="640"/>
        <w:jc w:val="center"/>
        <w:rPr>
          <w:rFonts w:asciiTheme="minorEastAsia" w:hAnsiTheme="minorEastAsia" w:eastAsiaTheme="minorEastAsia"/>
          <w:sz w:val="32"/>
        </w:rPr>
      </w:pPr>
      <w:bookmarkStart w:id="245" w:name="_Toc22486"/>
      <w:bookmarkStart w:id="246" w:name="_Toc24758"/>
      <w:bookmarkStart w:id="247" w:name="_Toc19534"/>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一、投</w:t>
      </w:r>
      <w:r>
        <w:rPr>
          <w:rFonts w:asciiTheme="minorEastAsia" w:hAnsiTheme="minorEastAsia" w:eastAsiaTheme="minorEastAsia"/>
          <w:sz w:val="32"/>
        </w:rPr>
        <w:t xml:space="preserve"> </w:t>
      </w:r>
      <w:r>
        <w:rPr>
          <w:rFonts w:hint="eastAsia" w:asciiTheme="minorEastAsia" w:hAnsiTheme="minorEastAsia" w:eastAsiaTheme="minorEastAsia"/>
          <w:sz w:val="32"/>
        </w:rPr>
        <w:t>标</w:t>
      </w:r>
      <w:r>
        <w:rPr>
          <w:rFonts w:asciiTheme="minorEastAsia" w:hAnsiTheme="minorEastAsia" w:eastAsiaTheme="minorEastAsia"/>
          <w:sz w:val="32"/>
        </w:rPr>
        <w:t xml:space="preserve"> </w:t>
      </w:r>
      <w:r>
        <w:rPr>
          <w:rFonts w:hint="eastAsia" w:asciiTheme="minorEastAsia" w:hAnsiTheme="minorEastAsia" w:eastAsiaTheme="minorEastAsia"/>
          <w:sz w:val="32"/>
        </w:rPr>
        <w:t>函</w:t>
      </w:r>
      <w:bookmarkEnd w:id="234"/>
      <w:bookmarkEnd w:id="235"/>
      <w:bookmarkEnd w:id="245"/>
      <w:bookmarkEnd w:id="246"/>
      <w:bookmarkEnd w:id="247"/>
    </w:p>
    <w:p>
      <w:pPr>
        <w:pStyle w:val="50"/>
        <w:spacing w:before="36" w:after="36" w:line="560" w:lineRule="exact"/>
        <w:ind w:firstLine="199" w:firstLineChars="83"/>
        <w:rPr>
          <w:rFonts w:asciiTheme="minorEastAsia" w:hAnsiTheme="minorEastAsia" w:eastAsiaTheme="minorEastAsia"/>
          <w:sz w:val="24"/>
        </w:rPr>
      </w:pPr>
      <w:bookmarkStart w:id="248" w:name="_Toc6346"/>
      <w:bookmarkStart w:id="249" w:name="_Toc28172"/>
      <w:bookmarkStart w:id="250" w:name="_Toc7712"/>
      <w:r>
        <w:rPr>
          <w:rFonts w:hint="eastAsia" w:asciiTheme="minorEastAsia" w:hAnsiTheme="minorEastAsia" w:eastAsiaTheme="minorEastAsia"/>
          <w:sz w:val="24"/>
        </w:rPr>
        <w:t>四川正通建设项目管理有限公司：</w:t>
      </w:r>
      <w:bookmarkEnd w:id="248"/>
      <w:bookmarkEnd w:id="249"/>
      <w:bookmarkEnd w:id="250"/>
    </w:p>
    <w:p>
      <w:pPr>
        <w:pStyle w:val="50"/>
        <w:spacing w:before="36" w:after="36" w:line="560" w:lineRule="exact"/>
        <w:ind w:firstLine="480"/>
        <w:rPr>
          <w:rFonts w:asciiTheme="minorEastAsia" w:hAnsiTheme="minorEastAsia" w:eastAsiaTheme="minorEastAsia"/>
          <w:sz w:val="24"/>
        </w:rPr>
      </w:pPr>
      <w:bookmarkStart w:id="251" w:name="_Toc15203"/>
      <w:bookmarkStart w:id="252" w:name="_Toc30097"/>
      <w:bookmarkStart w:id="253" w:name="_Toc19377"/>
      <w:r>
        <w:rPr>
          <w:rFonts w:hint="eastAsia" w:asciiTheme="minorEastAsia" w:hAnsiTheme="minorEastAsia" w:eastAsiaTheme="minorEastAsia"/>
          <w:sz w:val="24"/>
        </w:rPr>
        <w:t>我方全面研究了“</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包（招标编号：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）招标文件，决定参加贵单位组织的本项目投标。我方授权</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（姓名、职务）代表我方</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（投标单位的名称）全权处理本项目投标的有关事宜。</w:t>
      </w:r>
      <w:bookmarkEnd w:id="251"/>
      <w:bookmarkEnd w:id="252"/>
      <w:bookmarkEnd w:id="253"/>
    </w:p>
    <w:p>
      <w:pPr>
        <w:pStyle w:val="50"/>
        <w:spacing w:before="36" w:after="36" w:line="560" w:lineRule="exact"/>
        <w:ind w:firstLine="480"/>
        <w:rPr>
          <w:rFonts w:asciiTheme="minorEastAsia" w:hAnsiTheme="minorEastAsia" w:eastAsiaTheme="minorEastAsia"/>
          <w:sz w:val="24"/>
        </w:rPr>
      </w:pPr>
      <w:bookmarkStart w:id="254" w:name="_Toc13222"/>
      <w:bookmarkStart w:id="255" w:name="_Toc10324"/>
      <w:bookmarkStart w:id="256" w:name="_Toc3102"/>
      <w:r>
        <w:rPr>
          <w:rFonts w:hint="eastAsia" w:asciiTheme="minorEastAsia" w:hAnsiTheme="minorEastAsia" w:eastAsiaTheme="minorEastAsia"/>
          <w:sz w:val="24"/>
        </w:rPr>
        <w:t>一、我方自愿按照招标文件规定的各项要求向采购人提供所需货物，总投标价为下浮</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下浮百分之      </w:t>
      </w:r>
      <w:r>
        <w:rPr>
          <w:rFonts w:hint="eastAsia" w:asciiTheme="minorEastAsia" w:hAnsiTheme="minorEastAsia" w:eastAsiaTheme="minorEastAsia"/>
          <w:sz w:val="24"/>
        </w:rPr>
        <w:t>）。</w:t>
      </w:r>
      <w:bookmarkEnd w:id="254"/>
      <w:bookmarkEnd w:id="255"/>
      <w:bookmarkEnd w:id="256"/>
    </w:p>
    <w:p>
      <w:pPr>
        <w:pStyle w:val="50"/>
        <w:spacing w:before="36" w:after="36" w:line="560" w:lineRule="exact"/>
        <w:ind w:firstLine="480"/>
        <w:rPr>
          <w:rFonts w:asciiTheme="minorEastAsia" w:hAnsiTheme="minorEastAsia" w:eastAsiaTheme="minorEastAsia"/>
          <w:sz w:val="24"/>
        </w:rPr>
      </w:pPr>
      <w:bookmarkStart w:id="257" w:name="_Toc4570"/>
      <w:bookmarkStart w:id="258" w:name="_Toc23696"/>
      <w:bookmarkStart w:id="259" w:name="_Toc20518"/>
      <w:r>
        <w:rPr>
          <w:rFonts w:hint="eastAsia" w:asciiTheme="minorEastAsia" w:hAnsiTheme="minorEastAsia" w:eastAsiaTheme="minorEastAsia"/>
          <w:sz w:val="24"/>
        </w:rPr>
        <w:t>二、一旦我方中标，我方将严格履行采购合同规定的责任和义务。</w:t>
      </w:r>
      <w:bookmarkEnd w:id="257"/>
      <w:bookmarkEnd w:id="258"/>
      <w:bookmarkEnd w:id="259"/>
    </w:p>
    <w:p>
      <w:pPr>
        <w:pStyle w:val="50"/>
        <w:spacing w:before="36" w:after="36" w:line="560" w:lineRule="exact"/>
        <w:ind w:firstLine="480"/>
        <w:rPr>
          <w:rFonts w:asciiTheme="minorEastAsia" w:hAnsiTheme="minorEastAsia" w:eastAsiaTheme="minorEastAsia"/>
          <w:sz w:val="24"/>
        </w:rPr>
      </w:pPr>
      <w:bookmarkStart w:id="260" w:name="_Toc8416"/>
      <w:bookmarkStart w:id="261" w:name="_Toc11478"/>
      <w:bookmarkStart w:id="262" w:name="_Toc4628"/>
      <w:r>
        <w:rPr>
          <w:rFonts w:hint="eastAsia" w:asciiTheme="minorEastAsia" w:hAnsiTheme="minorEastAsia" w:eastAsiaTheme="minorEastAsia"/>
          <w:sz w:val="24"/>
        </w:rPr>
        <w:t>三、我方同意本招标文件依据《四川省政府采购当事人诚信管理办法》（川财采【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33</w:t>
      </w:r>
      <w:r>
        <w:rPr>
          <w:rFonts w:hint="eastAsia" w:asciiTheme="minorEastAsia" w:hAnsiTheme="minorEastAsia" w:eastAsiaTheme="minorEastAsia"/>
          <w:sz w:val="24"/>
        </w:rPr>
        <w:t>号文件）对我方可能存在的失信行为进行的惩戒。</w:t>
      </w:r>
      <w:bookmarkEnd w:id="260"/>
      <w:bookmarkEnd w:id="261"/>
      <w:bookmarkEnd w:id="262"/>
    </w:p>
    <w:p>
      <w:pPr>
        <w:pStyle w:val="50"/>
        <w:spacing w:before="36" w:after="36" w:line="560" w:lineRule="exact"/>
        <w:ind w:firstLine="480"/>
        <w:rPr>
          <w:rFonts w:asciiTheme="minorEastAsia" w:hAnsiTheme="minorEastAsia" w:eastAsiaTheme="minorEastAsia"/>
          <w:sz w:val="24"/>
        </w:rPr>
      </w:pPr>
      <w:bookmarkStart w:id="263" w:name="_Toc32331"/>
      <w:bookmarkStart w:id="264" w:name="_Toc2158"/>
      <w:bookmarkStart w:id="265" w:name="_Toc31317"/>
      <w:r>
        <w:rPr>
          <w:rFonts w:hint="eastAsia" w:asciiTheme="minorEastAsia" w:hAnsiTheme="minorEastAsia" w:eastAsiaTheme="minorEastAsia"/>
          <w:sz w:val="24"/>
        </w:rPr>
        <w:t>四、我方为本项目提交的投标文件正本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份，副本</w:t>
      </w:r>
      <w:r>
        <w:rPr>
          <w:rFonts w:hint="eastAsia"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份，用于资格审查的“资格审查申请材料” 正本</w:t>
      </w:r>
      <w:r>
        <w:rPr>
          <w:rFonts w:hint="eastAsia" w:cs="华文中宋"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份，副本</w:t>
      </w:r>
      <w:r>
        <w:rPr>
          <w:rFonts w:hint="eastAsia" w:cs="华文中宋"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份，电</w:t>
      </w:r>
      <w:r>
        <w:rPr>
          <w:rFonts w:hint="eastAsia" w:asciiTheme="minorEastAsia" w:hAnsiTheme="minorEastAsia" w:eastAsiaTheme="minorEastAsia"/>
          <w:sz w:val="24"/>
        </w:rPr>
        <w:t>子文档</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份，用于开标唱标的“开标一览表”一式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w:t>
      </w:r>
      <w:bookmarkEnd w:id="263"/>
      <w:bookmarkEnd w:id="264"/>
      <w:bookmarkEnd w:id="265"/>
    </w:p>
    <w:p>
      <w:pPr>
        <w:pStyle w:val="50"/>
        <w:spacing w:before="36" w:after="36" w:line="560" w:lineRule="exact"/>
        <w:ind w:firstLine="480"/>
        <w:rPr>
          <w:rFonts w:asciiTheme="minorEastAsia" w:hAnsiTheme="minorEastAsia" w:eastAsiaTheme="minorEastAsia"/>
          <w:sz w:val="24"/>
        </w:rPr>
      </w:pPr>
      <w:bookmarkStart w:id="266" w:name="_Toc24183"/>
      <w:bookmarkStart w:id="267" w:name="_Toc32354"/>
      <w:bookmarkStart w:id="268" w:name="_Toc6427"/>
      <w:r>
        <w:rPr>
          <w:rFonts w:hint="eastAsia" w:asciiTheme="minorEastAsia" w:hAnsiTheme="minorEastAsia" w:eastAsiaTheme="minorEastAsia"/>
          <w:sz w:val="24"/>
        </w:rPr>
        <w:t>五、</w:t>
      </w:r>
      <w:r>
        <w:rPr>
          <w:rFonts w:hint="eastAsia" w:cs="华文中宋" w:asciiTheme="minorEastAsia" w:hAnsiTheme="minorEastAsia" w:eastAsiaTheme="minorEastAsia"/>
          <w:sz w:val="24"/>
        </w:rPr>
        <w:t>我方同意本次招标的投标有效期为</w:t>
      </w:r>
      <w:r>
        <w:rPr>
          <w:rFonts w:hint="eastAsia" w:cs="华文中宋"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天。</w:t>
      </w:r>
      <w:bookmarkEnd w:id="266"/>
      <w:bookmarkEnd w:id="267"/>
      <w:bookmarkEnd w:id="268"/>
    </w:p>
    <w:p>
      <w:pPr>
        <w:pStyle w:val="50"/>
        <w:spacing w:before="36" w:after="36" w:line="560" w:lineRule="exact"/>
        <w:ind w:firstLine="480"/>
        <w:rPr>
          <w:rFonts w:asciiTheme="minorEastAsia" w:hAnsiTheme="minorEastAsia" w:eastAsiaTheme="minorEastAsia"/>
          <w:sz w:val="24"/>
        </w:rPr>
      </w:pPr>
      <w:bookmarkStart w:id="269" w:name="_Toc10544"/>
      <w:bookmarkStart w:id="270" w:name="_Toc30670"/>
      <w:bookmarkStart w:id="271" w:name="_Toc30079"/>
      <w:r>
        <w:rPr>
          <w:rFonts w:hint="eastAsia" w:asciiTheme="minorEastAsia" w:hAnsiTheme="minorEastAsia" w:eastAsiaTheme="minorEastAsia"/>
          <w:sz w:val="24"/>
        </w:rPr>
        <w:t>六、我方愿意提供贵单位可能另外要求的，与投标有关的文件资料，并保证我方已提供和将要提供的文件资料是真实、准确的。</w:t>
      </w:r>
      <w:bookmarkEnd w:id="269"/>
      <w:bookmarkEnd w:id="270"/>
      <w:bookmarkEnd w:id="271"/>
    </w:p>
    <w:p>
      <w:pPr>
        <w:pStyle w:val="50"/>
        <w:spacing w:before="36" w:after="36" w:line="560" w:lineRule="exact"/>
        <w:ind w:firstLine="480"/>
        <w:rPr>
          <w:rFonts w:asciiTheme="minorEastAsia" w:hAnsiTheme="minorEastAsia" w:eastAsiaTheme="minorEastAsia"/>
          <w:sz w:val="24"/>
        </w:rPr>
      </w:pPr>
      <w:bookmarkStart w:id="272" w:name="_Toc30783"/>
      <w:bookmarkStart w:id="273" w:name="_Toc26443"/>
      <w:bookmarkStart w:id="274" w:name="_Toc31673"/>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（单位公章）。</w:t>
      </w:r>
      <w:bookmarkEnd w:id="272"/>
      <w:bookmarkEnd w:id="273"/>
      <w:bookmarkEnd w:id="274"/>
    </w:p>
    <w:p>
      <w:pPr>
        <w:pStyle w:val="50"/>
        <w:spacing w:before="36" w:after="36" w:line="560" w:lineRule="exact"/>
        <w:ind w:firstLine="480"/>
        <w:rPr>
          <w:rFonts w:asciiTheme="minorEastAsia" w:hAnsiTheme="minorEastAsia" w:eastAsiaTheme="minorEastAsia"/>
          <w:sz w:val="24"/>
        </w:rPr>
      </w:pPr>
      <w:bookmarkStart w:id="275" w:name="_Toc10668"/>
      <w:bookmarkStart w:id="276" w:name="_Toc25467"/>
      <w:bookmarkStart w:id="277" w:name="_Toc24691"/>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75"/>
      <w:bookmarkEnd w:id="276"/>
      <w:bookmarkEnd w:id="277"/>
    </w:p>
    <w:p>
      <w:pPr>
        <w:pStyle w:val="50"/>
        <w:spacing w:before="36" w:after="36" w:line="560" w:lineRule="exact"/>
        <w:ind w:firstLine="480"/>
        <w:rPr>
          <w:rFonts w:asciiTheme="minorEastAsia" w:hAnsiTheme="minorEastAsia" w:eastAsiaTheme="minorEastAsia"/>
          <w:sz w:val="24"/>
        </w:rPr>
      </w:pPr>
      <w:bookmarkStart w:id="278" w:name="_Toc23988"/>
      <w:bookmarkStart w:id="279" w:name="_Toc9712"/>
      <w:bookmarkStart w:id="280" w:name="_Toc21897"/>
      <w:r>
        <w:rPr>
          <w:rFonts w:hint="eastAsia" w:asciiTheme="minorEastAsia" w:hAnsiTheme="minorEastAsia" w:eastAsiaTheme="minorEastAsia"/>
          <w:sz w:val="24"/>
        </w:rPr>
        <w:t>通讯地址：</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78"/>
      <w:bookmarkEnd w:id="279"/>
      <w:bookmarkEnd w:id="280"/>
    </w:p>
    <w:p>
      <w:pPr>
        <w:pStyle w:val="50"/>
        <w:spacing w:before="36" w:after="36" w:line="560" w:lineRule="exact"/>
        <w:ind w:firstLine="480"/>
        <w:rPr>
          <w:rFonts w:asciiTheme="minorEastAsia" w:hAnsiTheme="minorEastAsia" w:eastAsiaTheme="minorEastAsia"/>
          <w:sz w:val="24"/>
        </w:rPr>
      </w:pPr>
      <w:bookmarkStart w:id="281" w:name="_Toc1757"/>
      <w:bookmarkStart w:id="282" w:name="_Toc14284"/>
      <w:bookmarkStart w:id="283" w:name="_Toc25170"/>
      <w:r>
        <w:rPr>
          <w:rFonts w:hint="eastAsia" w:asciiTheme="minorEastAsia" w:hAnsiTheme="minorEastAsia" w:eastAsiaTheme="minorEastAsia"/>
          <w:sz w:val="24"/>
        </w:rPr>
        <w:t>邮政编码：</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81"/>
      <w:bookmarkEnd w:id="282"/>
      <w:bookmarkEnd w:id="283"/>
    </w:p>
    <w:p>
      <w:pPr>
        <w:pStyle w:val="50"/>
        <w:spacing w:before="36" w:after="36" w:line="560" w:lineRule="exact"/>
        <w:ind w:firstLine="480"/>
        <w:rPr>
          <w:rFonts w:asciiTheme="minorEastAsia" w:hAnsiTheme="minorEastAsia" w:eastAsiaTheme="minorEastAsia"/>
          <w:sz w:val="24"/>
        </w:rPr>
      </w:pPr>
      <w:bookmarkStart w:id="284" w:name="_Toc17177"/>
      <w:bookmarkStart w:id="285" w:name="_Toc11438"/>
      <w:bookmarkStart w:id="286" w:name="_Toc9031"/>
      <w:r>
        <w:rPr>
          <w:rFonts w:hint="eastAsia" w:asciiTheme="minorEastAsia" w:hAnsiTheme="minorEastAsia" w:eastAsiaTheme="minorEastAsia"/>
          <w:sz w:val="24"/>
        </w:rPr>
        <w:t>联系电话：</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84"/>
      <w:bookmarkEnd w:id="285"/>
      <w:bookmarkEnd w:id="286"/>
    </w:p>
    <w:p>
      <w:pPr>
        <w:pStyle w:val="50"/>
        <w:spacing w:before="36" w:after="36" w:line="560" w:lineRule="exact"/>
        <w:ind w:firstLine="480"/>
        <w:rPr>
          <w:rFonts w:asciiTheme="minorEastAsia" w:hAnsiTheme="minorEastAsia" w:eastAsiaTheme="minorEastAsia"/>
          <w:sz w:val="24"/>
        </w:rPr>
      </w:pPr>
      <w:bookmarkStart w:id="287" w:name="_Toc27705"/>
      <w:bookmarkStart w:id="288" w:name="_Toc26665"/>
      <w:bookmarkStart w:id="289" w:name="_Toc4304"/>
      <w:r>
        <w:rPr>
          <w:rFonts w:hint="eastAsia" w:asciiTheme="minorEastAsia" w:hAnsiTheme="minorEastAsia" w:eastAsiaTheme="minorEastAsia"/>
          <w:sz w:val="24"/>
        </w:rPr>
        <w:t>传</w:t>
      </w:r>
      <w:r>
        <w:rPr>
          <w:rFonts w:asciiTheme="minorEastAsia" w:hAnsiTheme="minorEastAsia" w:eastAsiaTheme="minorEastAsia"/>
          <w:sz w:val="24"/>
        </w:rPr>
        <w:t xml:space="preserve">    </w:t>
      </w:r>
      <w:r>
        <w:rPr>
          <w:rFonts w:hint="eastAsia" w:asciiTheme="minorEastAsia" w:hAnsiTheme="minorEastAsia" w:eastAsiaTheme="minorEastAsia"/>
          <w:sz w:val="24"/>
        </w:rPr>
        <w:t>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87"/>
      <w:bookmarkEnd w:id="288"/>
      <w:bookmarkEnd w:id="289"/>
    </w:p>
    <w:p>
      <w:pPr>
        <w:pStyle w:val="50"/>
        <w:spacing w:before="36" w:after="36" w:line="560" w:lineRule="exact"/>
        <w:ind w:firstLine="480"/>
        <w:rPr>
          <w:rFonts w:asciiTheme="minorEastAsia" w:hAnsiTheme="minorEastAsia" w:eastAsiaTheme="minorEastAsia"/>
          <w:sz w:val="24"/>
        </w:rPr>
      </w:pPr>
      <w:bookmarkStart w:id="290" w:name="_Toc533"/>
      <w:bookmarkStart w:id="291" w:name="_Toc16246"/>
      <w:bookmarkStart w:id="292" w:name="_Toc26030"/>
      <w:r>
        <w:rPr>
          <w:rFonts w:hint="eastAsia" w:asciiTheme="minorEastAsia" w:hAnsiTheme="minorEastAsia" w:eastAsiaTheme="minorEastAsia"/>
          <w:sz w:val="24"/>
        </w:rPr>
        <w:t>投标日期：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w:t>
      </w:r>
      <w:bookmarkEnd w:id="290"/>
      <w:bookmarkEnd w:id="291"/>
      <w:bookmarkEnd w:id="292"/>
    </w:p>
    <w:p>
      <w:pPr>
        <w:pStyle w:val="50"/>
        <w:spacing w:before="36" w:after="36"/>
        <w:ind w:firstLine="640"/>
        <w:jc w:val="center"/>
        <w:rPr>
          <w:rFonts w:asciiTheme="minorEastAsia" w:hAnsiTheme="minorEastAsia" w:eastAsiaTheme="minorEastAsia"/>
          <w:sz w:val="32"/>
        </w:rPr>
      </w:pPr>
      <w:bookmarkStart w:id="293" w:name="_Toc308164824"/>
      <w:bookmarkStart w:id="294" w:name="_Toc14842"/>
      <w:bookmarkStart w:id="295" w:name="_Toc2770"/>
      <w:bookmarkStart w:id="296" w:name="_Toc7763"/>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二、</w:t>
      </w:r>
      <w:bookmarkEnd w:id="293"/>
      <w:r>
        <w:rPr>
          <w:rFonts w:hint="eastAsia" w:asciiTheme="minorEastAsia" w:hAnsiTheme="minorEastAsia" w:eastAsiaTheme="minorEastAsia"/>
          <w:sz w:val="32"/>
        </w:rPr>
        <w:t>承诺函</w:t>
      </w:r>
      <w:bookmarkEnd w:id="294"/>
      <w:bookmarkEnd w:id="295"/>
      <w:bookmarkEnd w:id="296"/>
    </w:p>
    <w:p>
      <w:pPr>
        <w:pStyle w:val="50"/>
        <w:spacing w:beforeLines="0" w:afterLines="0"/>
        <w:ind w:firstLine="480"/>
        <w:rPr>
          <w:rFonts w:asciiTheme="minorEastAsia" w:hAnsiTheme="minorEastAsia" w:eastAsiaTheme="minorEastAsia"/>
          <w:sz w:val="24"/>
        </w:rPr>
      </w:pPr>
      <w:bookmarkStart w:id="297" w:name="_Toc24164"/>
      <w:bookmarkStart w:id="298" w:name="_Toc10614"/>
      <w:bookmarkStart w:id="299" w:name="_Toc24505"/>
      <w:r>
        <w:rPr>
          <w:rFonts w:hint="eastAsia" w:asciiTheme="minorEastAsia" w:hAnsiTheme="minorEastAsia" w:eastAsiaTheme="minorEastAsia"/>
          <w:sz w:val="24"/>
        </w:rPr>
        <w:t>四川正通建设项目管理有限公司：</w:t>
      </w:r>
      <w:bookmarkEnd w:id="297"/>
      <w:bookmarkEnd w:id="298"/>
      <w:bookmarkEnd w:id="299"/>
    </w:p>
    <w:p>
      <w:pPr>
        <w:pStyle w:val="50"/>
        <w:spacing w:beforeLines="0" w:afterLines="0"/>
        <w:ind w:firstLine="960" w:firstLineChars="400"/>
        <w:rPr>
          <w:rFonts w:asciiTheme="minorEastAsia" w:hAnsiTheme="minorEastAsia" w:eastAsiaTheme="minorEastAsia"/>
          <w:sz w:val="24"/>
        </w:rPr>
      </w:pPr>
      <w:bookmarkStart w:id="300" w:name="_Toc32583"/>
      <w:bookmarkStart w:id="301" w:name="_Toc7062"/>
      <w:bookmarkStart w:id="302" w:name="_Toc7348"/>
      <w:r>
        <w:rPr>
          <w:rFonts w:hint="eastAsia" w:asciiTheme="minorEastAsia" w:hAnsiTheme="minorEastAsia" w:eastAsiaTheme="minorEastAsia"/>
          <w:sz w:val="24"/>
        </w:rPr>
        <w:t>我公司作为本次采购项目的投标人，根据招标文件要求，现郑重承诺如下：</w:t>
      </w:r>
      <w:bookmarkEnd w:id="300"/>
      <w:bookmarkEnd w:id="301"/>
      <w:bookmarkEnd w:id="302"/>
    </w:p>
    <w:p>
      <w:pPr>
        <w:pStyle w:val="50"/>
        <w:spacing w:beforeLines="0" w:afterLines="0"/>
        <w:ind w:firstLine="480"/>
        <w:rPr>
          <w:rFonts w:asciiTheme="minorEastAsia" w:hAnsiTheme="minorEastAsia" w:eastAsiaTheme="minorEastAsia"/>
          <w:sz w:val="24"/>
        </w:rPr>
      </w:pPr>
      <w:bookmarkStart w:id="303" w:name="_Toc10880"/>
      <w:bookmarkStart w:id="304" w:name="_Toc23271"/>
      <w:bookmarkStart w:id="305" w:name="_Toc22706"/>
      <w:r>
        <w:rPr>
          <w:rFonts w:hint="eastAsia" w:asciiTheme="minorEastAsia" w:hAnsiTheme="minorEastAsia" w:eastAsiaTheme="minorEastAsia"/>
          <w:sz w:val="24"/>
        </w:rPr>
        <w:t>一、具备《中华人民共和国政府采购法》第二十二条第一款和本项目规定的条件：</w:t>
      </w:r>
      <w:bookmarkEnd w:id="303"/>
      <w:bookmarkEnd w:id="304"/>
      <w:bookmarkEnd w:id="305"/>
    </w:p>
    <w:p>
      <w:pPr>
        <w:pStyle w:val="50"/>
        <w:spacing w:before="36" w:after="36"/>
        <w:ind w:firstLine="960" w:firstLineChars="400"/>
        <w:rPr>
          <w:rFonts w:asciiTheme="minorEastAsia" w:hAnsiTheme="minorEastAsia" w:eastAsiaTheme="minorEastAsia"/>
          <w:sz w:val="24"/>
        </w:rPr>
      </w:pPr>
      <w:bookmarkStart w:id="306" w:name="_Toc10124"/>
      <w:bookmarkStart w:id="307" w:name="_Toc670"/>
      <w:bookmarkStart w:id="308" w:name="_Toc25459"/>
      <w:r>
        <w:rPr>
          <w:rFonts w:hint="eastAsia" w:asciiTheme="minorEastAsia" w:hAnsiTheme="minorEastAsia" w:eastAsiaTheme="minorEastAsia"/>
          <w:sz w:val="24"/>
        </w:rPr>
        <w:t xml:space="preserve">（一）具有独立承担民事责任的能力；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（二）具有良好的商业信誉和健全的财务会计制度；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（三）具有履行合同所必需的设备和专业技术能力；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（四）有依法缴纳税收和社会保障资金的良好记录；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（五）参加采购活动前三年内，在经营活动中没有重大违法记录；</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pStyle w:val="50"/>
        <w:spacing w:beforeLines="0" w:afterLines="0"/>
        <w:ind w:firstLine="960" w:firstLineChars="400"/>
        <w:rPr>
          <w:rFonts w:asciiTheme="minorEastAsia" w:hAnsiTheme="minorEastAsia" w:eastAsiaTheme="minorEastAsia"/>
          <w:sz w:val="24"/>
        </w:rPr>
      </w:pPr>
      <w:r>
        <w:rPr>
          <w:rFonts w:hint="eastAsia" w:asciiTheme="minorEastAsia" w:hAnsiTheme="minorEastAsia" w:eastAsiaTheme="minorEastAsia"/>
          <w:sz w:val="24"/>
        </w:rPr>
        <w:t>（七）根据采购项目提出的特殊条件。</w:t>
      </w:r>
    </w:p>
    <w:p>
      <w:pPr>
        <w:pStyle w:val="50"/>
        <w:spacing w:beforeLines="0" w:afterLines="0"/>
        <w:ind w:firstLine="480"/>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bookmarkEnd w:id="306"/>
      <w:bookmarkEnd w:id="307"/>
      <w:bookmarkEnd w:id="308"/>
    </w:p>
    <w:p>
      <w:pPr>
        <w:pStyle w:val="50"/>
        <w:spacing w:beforeLines="0" w:afterLines="0"/>
        <w:ind w:firstLine="480"/>
        <w:rPr>
          <w:rFonts w:asciiTheme="minorEastAsia" w:hAnsiTheme="minorEastAsia" w:eastAsiaTheme="minorEastAsia"/>
          <w:sz w:val="24"/>
        </w:rPr>
      </w:pPr>
      <w:bookmarkStart w:id="309" w:name="_Toc16939"/>
      <w:bookmarkStart w:id="310" w:name="_Toc22724"/>
      <w:bookmarkStart w:id="311" w:name="_Toc23198"/>
      <w:r>
        <w:rPr>
          <w:rFonts w:hint="eastAsia" w:asciiTheme="minorEastAsia" w:hAnsiTheme="minorEastAsia" w:eastAsiaTheme="minorEastAsia"/>
          <w:sz w:val="24"/>
        </w:rPr>
        <w:t>三、参加本次招标采购活动，不存在与单位负责人为同一人或者存在直接控股、管理关系的其他供应商参与同一合同项下的采购活动的行为。</w:t>
      </w:r>
      <w:bookmarkEnd w:id="309"/>
      <w:bookmarkEnd w:id="310"/>
      <w:bookmarkEnd w:id="311"/>
    </w:p>
    <w:p>
      <w:pPr>
        <w:pStyle w:val="50"/>
        <w:spacing w:beforeLines="0" w:afterLines="0"/>
        <w:ind w:firstLine="480"/>
        <w:rPr>
          <w:rFonts w:asciiTheme="minorEastAsia" w:hAnsiTheme="minorEastAsia" w:eastAsiaTheme="minorEastAsia"/>
          <w:sz w:val="24"/>
        </w:rPr>
      </w:pPr>
      <w:bookmarkStart w:id="312" w:name="_Toc17891"/>
      <w:bookmarkStart w:id="313" w:name="_Toc7815"/>
      <w:bookmarkStart w:id="314" w:name="_Toc16011"/>
      <w:r>
        <w:rPr>
          <w:rFonts w:hint="eastAsia" w:asciiTheme="minorEastAsia" w:hAnsiTheme="minorEastAsia" w:eastAsiaTheme="minorEastAsia"/>
          <w:sz w:val="24"/>
        </w:rPr>
        <w:t>四、参加本次招标采购活动，不存在和其他供应商在同一合同项下的采购项目中，同时委托同一个自然人、同一家庭的人员、同一单位的人员作为代理人的行为。</w:t>
      </w:r>
      <w:bookmarkEnd w:id="312"/>
      <w:bookmarkEnd w:id="313"/>
      <w:bookmarkEnd w:id="314"/>
    </w:p>
    <w:p>
      <w:pPr>
        <w:pStyle w:val="50"/>
        <w:spacing w:beforeLines="0" w:afterLines="0"/>
        <w:ind w:firstLine="480"/>
        <w:rPr>
          <w:rFonts w:asciiTheme="minorEastAsia" w:hAnsiTheme="minorEastAsia" w:eastAsiaTheme="minorEastAsia"/>
          <w:sz w:val="24"/>
        </w:rPr>
      </w:pPr>
      <w:bookmarkStart w:id="315" w:name="_Toc19742"/>
      <w:bookmarkStart w:id="316" w:name="_Toc19969"/>
      <w:bookmarkStart w:id="317" w:name="_Toc18366"/>
      <w:r>
        <w:rPr>
          <w:rFonts w:hint="eastAsia" w:asciiTheme="minorEastAsia" w:hAnsiTheme="minorEastAsia" w:eastAsiaTheme="minorEastAsia"/>
          <w:sz w:val="24"/>
        </w:rPr>
        <w:t>五、如果有《四川省政府采购当事人诚信管理办法》（川财采</w:t>
      </w:r>
      <w:r>
        <w:rPr>
          <w:rFonts w:asciiTheme="minorEastAsia" w:hAnsiTheme="minorEastAsia" w:eastAsiaTheme="minorEastAsia"/>
          <w:sz w:val="24"/>
        </w:rPr>
        <w:t>[2015]33</w:t>
      </w:r>
      <w:r>
        <w:rPr>
          <w:rFonts w:hint="eastAsia" w:asciiTheme="minorEastAsia" w:hAnsiTheme="minorEastAsia" w:eastAsiaTheme="minorEastAsia"/>
          <w:sz w:val="24"/>
        </w:rPr>
        <w:t>号）规定的记入诚信档案的失信行为，将在投标文件中全面如实反映。</w:t>
      </w:r>
      <w:bookmarkEnd w:id="315"/>
      <w:bookmarkEnd w:id="316"/>
      <w:bookmarkEnd w:id="317"/>
      <w:bookmarkStart w:id="318" w:name="_Toc22967"/>
      <w:bookmarkStart w:id="319" w:name="_Toc7423"/>
      <w:bookmarkStart w:id="320" w:name="_Toc11432"/>
    </w:p>
    <w:p>
      <w:pPr>
        <w:pStyle w:val="50"/>
        <w:spacing w:beforeLines="0" w:afterLines="0"/>
        <w:ind w:firstLine="480"/>
        <w:rPr>
          <w:rFonts w:asciiTheme="minorEastAsia" w:hAnsiTheme="minorEastAsia" w:eastAsiaTheme="minorEastAsia"/>
          <w:sz w:val="24"/>
        </w:rPr>
      </w:pPr>
      <w:r>
        <w:rPr>
          <w:rFonts w:hint="eastAsia" w:asciiTheme="minorEastAsia" w:hAnsiTheme="minorEastAsia" w:eastAsiaTheme="minorEastAsia"/>
          <w:sz w:val="24"/>
        </w:rPr>
        <w:t>六、投标文件中提供的能够给予我公司带来优惠、好处的任何材料资料和技术、服务、商务等响应承诺情况都是真实的、有效的、合法的。</w:t>
      </w:r>
      <w:bookmarkEnd w:id="318"/>
      <w:bookmarkEnd w:id="319"/>
      <w:bookmarkEnd w:id="320"/>
    </w:p>
    <w:p>
      <w:pPr>
        <w:pStyle w:val="50"/>
        <w:spacing w:beforeLines="0" w:afterLines="0"/>
        <w:ind w:firstLine="480"/>
        <w:rPr>
          <w:rFonts w:asciiTheme="minorEastAsia" w:hAnsiTheme="minorEastAsia" w:eastAsiaTheme="minorEastAsia"/>
          <w:sz w:val="24"/>
        </w:rPr>
      </w:pPr>
      <w:bookmarkStart w:id="321" w:name="_Toc8216"/>
      <w:bookmarkStart w:id="322" w:name="_Toc6858"/>
      <w:bookmarkStart w:id="323" w:name="_Toc31840"/>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bookmarkEnd w:id="321"/>
      <w:bookmarkEnd w:id="322"/>
      <w:bookmarkEnd w:id="323"/>
    </w:p>
    <w:p>
      <w:pPr>
        <w:pStyle w:val="50"/>
        <w:spacing w:before="36" w:after="36"/>
        <w:ind w:firstLine="480"/>
        <w:rPr>
          <w:rFonts w:asciiTheme="minorEastAsia" w:hAnsiTheme="minorEastAsia" w:eastAsiaTheme="minorEastAsia"/>
          <w:sz w:val="24"/>
        </w:rPr>
      </w:pPr>
      <w:bookmarkStart w:id="324" w:name="_Toc2102"/>
      <w:bookmarkStart w:id="325" w:name="_Toc29776"/>
      <w:bookmarkStart w:id="326" w:name="_Toc21278"/>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三、法定代表人授权书</w:t>
      </w:r>
      <w:bookmarkEnd w:id="233"/>
      <w:bookmarkEnd w:id="324"/>
      <w:bookmarkEnd w:id="325"/>
      <w:bookmarkEnd w:id="326"/>
    </w:p>
    <w:p>
      <w:pPr>
        <w:spacing w:line="360" w:lineRule="auto"/>
        <w:ind w:left="359" w:leftChars="171"/>
        <w:jc w:val="center"/>
        <w:rPr>
          <w:rFonts w:asciiTheme="minorEastAsia" w:hAnsiTheme="minorEastAsia" w:eastAsiaTheme="minorEastAsia"/>
          <w:kern w:val="0"/>
          <w:sz w:val="24"/>
        </w:rPr>
      </w:pPr>
      <w:r>
        <w:rPr>
          <w:rFonts w:hint="eastAsia" w:asciiTheme="minorEastAsia" w:hAnsiTheme="minorEastAsia" w:eastAsiaTheme="minorEastAsia"/>
          <w:kern w:val="0"/>
          <w:sz w:val="28"/>
        </w:rPr>
        <w:t>（一）法定代表人身份证明</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供应商名称：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单位性质：</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成立时间：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经营期限：</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姓名：</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系（投标人名称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）的法定代表人。（职务：</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电话</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p>
    <w:p>
      <w:pPr>
        <w:spacing w:line="360" w:lineRule="auto"/>
        <w:ind w:left="359" w:leftChars="171"/>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特此证明。</w:t>
      </w:r>
    </w:p>
    <w:p>
      <w:pPr>
        <w:spacing w:line="360" w:lineRule="auto"/>
        <w:ind w:left="359" w:leftChars="171" w:firstLine="480" w:firstLineChars="200"/>
        <w:rPr>
          <w:rFonts w:asciiTheme="minorEastAsia" w:hAnsiTheme="minorEastAsia" w:eastAsiaTheme="minorEastAsia"/>
          <w:kern w:val="0"/>
          <w:sz w:val="24"/>
        </w:rPr>
      </w:pP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附：法定代表人身份证（正反面）复印件或扫描件</w:t>
      </w:r>
    </w:p>
    <w:p>
      <w:pPr>
        <w:spacing w:line="360" w:lineRule="auto"/>
        <w:ind w:left="359" w:leftChars="171" w:firstLine="480" w:firstLineChars="200"/>
        <w:rPr>
          <w:rFonts w:asciiTheme="minorEastAsia" w:hAnsiTheme="minorEastAsia" w:eastAsiaTheme="minorEastAsia"/>
          <w:kern w:val="0"/>
          <w:sz w:val="24"/>
        </w:rPr>
      </w:pPr>
    </w:p>
    <w:p>
      <w:pPr>
        <w:pStyle w:val="50"/>
        <w:spacing w:before="36" w:after="36"/>
        <w:ind w:firstLine="480"/>
        <w:jc w:val="right"/>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jc w:val="right"/>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rPr>
          <w:rFonts w:asciiTheme="minorEastAsia" w:hAnsiTheme="minorEastAsia" w:eastAsiaTheme="minorEastAsia"/>
          <w:kern w:val="0"/>
          <w:sz w:val="24"/>
        </w:rPr>
      </w:pPr>
    </w:p>
    <w:p>
      <w:pPr>
        <w:spacing w:line="360" w:lineRule="auto"/>
        <w:rPr>
          <w:rFonts w:asciiTheme="minorEastAsia" w:hAnsiTheme="minorEastAsia" w:eastAsiaTheme="minorEastAsia"/>
          <w:kern w:val="0"/>
          <w:sz w:val="24"/>
        </w:rPr>
      </w:pPr>
    </w:p>
    <w:p>
      <w:pPr>
        <w:spacing w:line="360" w:lineRule="auto"/>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r>
        <w:rPr>
          <w:rFonts w:hint="eastAsia" w:asciiTheme="minorEastAsia" w:hAnsiTheme="minorEastAsia" w:eastAsiaTheme="minorEastAsia"/>
          <w:kern w:val="0"/>
          <w:sz w:val="24"/>
        </w:rPr>
        <w:t>注：</w:t>
      </w:r>
    </w:p>
    <w:p>
      <w:pPr>
        <w:widowControl/>
        <w:spacing w:line="360" w:lineRule="atLeast"/>
        <w:ind w:firstLine="470" w:firstLineChars="196"/>
        <w:jc w:val="left"/>
        <w:outlineLvl w:val="1"/>
        <w:rPr>
          <w:rFonts w:asciiTheme="minorEastAsia" w:hAnsiTheme="minorEastAsia" w:eastAsiaTheme="minorEastAsia"/>
          <w:kern w:val="0"/>
          <w:sz w:val="24"/>
        </w:rPr>
      </w:pPr>
      <w:r>
        <w:rPr>
          <w:rFonts w:hint="eastAsia" w:asciiTheme="minorEastAsia" w:hAnsiTheme="minorEastAsia" w:eastAsiaTheme="minorEastAsia"/>
          <w:kern w:val="0"/>
          <w:sz w:val="24"/>
        </w:rPr>
        <w:t>1、法定代表人亲自参加投标时适用本证明书。</w:t>
      </w: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jc w:val="left"/>
        <w:outlineLvl w:val="1"/>
        <w:rPr>
          <w:rFonts w:asciiTheme="minorEastAsia" w:hAnsiTheme="minorEastAsia" w:eastAsiaTheme="minorEastAsia"/>
          <w:kern w:val="0"/>
          <w:sz w:val="24"/>
        </w:rPr>
      </w:pPr>
    </w:p>
    <w:p>
      <w:pPr>
        <w:jc w:val="center"/>
        <w:rPr>
          <w:rFonts w:asciiTheme="minorEastAsia" w:hAnsiTheme="minorEastAsia" w:eastAsiaTheme="minorEastAsia"/>
          <w:kern w:val="0"/>
          <w:sz w:val="28"/>
        </w:rPr>
      </w:pPr>
      <w:r>
        <w:rPr>
          <w:rFonts w:hint="eastAsia" w:asciiTheme="minorEastAsia" w:hAnsiTheme="minorEastAsia" w:eastAsiaTheme="minorEastAsia"/>
          <w:kern w:val="0"/>
          <w:sz w:val="28"/>
        </w:rPr>
        <w:t>（二）法人代表授权书</w:t>
      </w:r>
    </w:p>
    <w:p>
      <w:pPr>
        <w:jc w:val="center"/>
        <w:rPr>
          <w:rFonts w:asciiTheme="minorEastAsia" w:hAnsiTheme="minorEastAsia" w:eastAsiaTheme="minorEastAsia"/>
        </w:rPr>
      </w:pPr>
    </w:p>
    <w:p>
      <w:pPr>
        <w:pStyle w:val="50"/>
        <w:spacing w:before="36" w:after="36"/>
        <w:ind w:firstLine="0" w:firstLineChars="0"/>
        <w:rPr>
          <w:rFonts w:asciiTheme="minorEastAsia" w:hAnsiTheme="minorEastAsia" w:eastAsiaTheme="minorEastAsia"/>
          <w:sz w:val="24"/>
        </w:rPr>
      </w:pPr>
      <w:bookmarkStart w:id="327" w:name="_Toc21217"/>
      <w:bookmarkStart w:id="328" w:name="_Toc29773"/>
      <w:bookmarkStart w:id="329" w:name="_Toc9504"/>
      <w:r>
        <w:rPr>
          <w:rFonts w:hint="eastAsia" w:asciiTheme="minorEastAsia" w:hAnsiTheme="minorEastAsia" w:eastAsiaTheme="minorEastAsia"/>
          <w:sz w:val="24"/>
        </w:rPr>
        <w:t>四川正通建设项目管理有限公司：</w:t>
      </w:r>
      <w:bookmarkEnd w:id="327"/>
      <w:bookmarkEnd w:id="328"/>
      <w:bookmarkEnd w:id="329"/>
    </w:p>
    <w:p>
      <w:pPr>
        <w:pStyle w:val="50"/>
        <w:spacing w:before="36" w:after="36"/>
        <w:ind w:firstLine="480"/>
        <w:rPr>
          <w:rFonts w:asciiTheme="minorEastAsia" w:hAnsiTheme="minorEastAsia" w:eastAsiaTheme="minorEastAsia"/>
          <w:sz w:val="24"/>
        </w:rPr>
      </w:pPr>
      <w:bookmarkStart w:id="330" w:name="_Toc8548"/>
      <w:bookmarkStart w:id="331" w:name="_Toc22681"/>
      <w:bookmarkStart w:id="332" w:name="_Toc28181"/>
      <w:r>
        <w:rPr>
          <w:rFonts w:asciiTheme="minorEastAsia" w:hAnsiTheme="minorEastAsia" w:eastAsiaTheme="minorEastAsia"/>
          <w:sz w:val="24"/>
        </w:rPr>
        <w:t xml:space="preserve"> </w:t>
      </w:r>
      <w:r>
        <w:rPr>
          <w:rFonts w:hint="eastAsia" w:asciiTheme="minorEastAsia" w:hAnsiTheme="minorEastAsia" w:eastAsiaTheme="minorEastAsia"/>
          <w:sz w:val="24"/>
        </w:rPr>
        <w:t>本授权声明：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（法定代表人姓名、职务）授权</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（被授权人姓名、职务）为我方</w:t>
      </w: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项目第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包（招标编号：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）投标活动的合法代表，以我方名义全权处理该项目有关投标、签订合同以及执行合同等一切事宜。</w:t>
      </w:r>
      <w:bookmarkEnd w:id="330"/>
      <w:bookmarkEnd w:id="331"/>
      <w:bookmarkEnd w:id="332"/>
    </w:p>
    <w:p>
      <w:pPr>
        <w:pStyle w:val="50"/>
        <w:spacing w:before="36" w:after="36"/>
        <w:ind w:firstLine="480"/>
        <w:rPr>
          <w:rFonts w:asciiTheme="minorEastAsia" w:hAnsiTheme="minorEastAsia" w:eastAsiaTheme="minorEastAsia"/>
          <w:sz w:val="24"/>
        </w:rPr>
      </w:pPr>
      <w:bookmarkStart w:id="333" w:name="_Toc22523"/>
      <w:bookmarkStart w:id="334" w:name="_Toc1395"/>
      <w:bookmarkStart w:id="335" w:name="_Toc6753"/>
      <w:r>
        <w:rPr>
          <w:rFonts w:hint="eastAsia" w:asciiTheme="minorEastAsia" w:hAnsiTheme="minorEastAsia" w:eastAsiaTheme="minorEastAsia"/>
          <w:sz w:val="24"/>
        </w:rPr>
        <w:t>特此声明。</w:t>
      </w:r>
      <w:bookmarkEnd w:id="333"/>
      <w:bookmarkEnd w:id="334"/>
      <w:bookmarkEnd w:id="335"/>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附：法定代表人及被授权人身份证（正反面）复印件或扫描件</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bookmarkStart w:id="336" w:name="_Toc7005"/>
      <w:bookmarkStart w:id="337" w:name="_Toc1232"/>
      <w:bookmarkStart w:id="338" w:name="_Toc30300"/>
      <w:r>
        <w:rPr>
          <w:rFonts w:hint="eastAsia" w:asciiTheme="minorEastAsia" w:hAnsiTheme="minorEastAsia" w:eastAsiaTheme="minorEastAsia"/>
          <w:sz w:val="24"/>
        </w:rPr>
        <w:t>法定代表人签字或者加盖个人名章：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36"/>
      <w:bookmarkEnd w:id="337"/>
      <w:bookmarkEnd w:id="338"/>
    </w:p>
    <w:p>
      <w:pPr>
        <w:pStyle w:val="50"/>
        <w:spacing w:before="36" w:after="36"/>
        <w:ind w:firstLine="480"/>
        <w:rPr>
          <w:rFonts w:asciiTheme="minorEastAsia" w:hAnsiTheme="minorEastAsia" w:eastAsiaTheme="minorEastAsia"/>
          <w:sz w:val="24"/>
        </w:rPr>
      </w:pPr>
      <w:bookmarkStart w:id="339" w:name="_Toc11763"/>
      <w:bookmarkStart w:id="340" w:name="_Toc16575"/>
      <w:bookmarkStart w:id="341" w:name="_Toc7334"/>
      <w:r>
        <w:rPr>
          <w:rFonts w:hint="eastAsia" w:asciiTheme="minorEastAsia" w:hAnsiTheme="minorEastAsia" w:eastAsiaTheme="minorEastAsia"/>
          <w:sz w:val="24"/>
        </w:rPr>
        <w:t>授权代表签字：</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39"/>
      <w:bookmarkEnd w:id="340"/>
      <w:bookmarkEnd w:id="341"/>
    </w:p>
    <w:p>
      <w:pPr>
        <w:pStyle w:val="50"/>
        <w:spacing w:before="36" w:after="36"/>
        <w:ind w:firstLine="480"/>
        <w:rPr>
          <w:rFonts w:asciiTheme="minorEastAsia" w:hAnsiTheme="minorEastAsia" w:eastAsiaTheme="minorEastAsia"/>
          <w:sz w:val="24"/>
        </w:rPr>
      </w:pPr>
      <w:bookmarkStart w:id="342" w:name="_Toc32592"/>
      <w:bookmarkStart w:id="343" w:name="_Toc24711"/>
      <w:bookmarkStart w:id="344" w:name="_Toc27046"/>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342"/>
      <w:bookmarkEnd w:id="343"/>
      <w:bookmarkEnd w:id="344"/>
    </w:p>
    <w:p>
      <w:pPr>
        <w:pStyle w:val="50"/>
        <w:spacing w:before="36" w:after="36"/>
        <w:ind w:firstLine="480"/>
        <w:rPr>
          <w:rFonts w:asciiTheme="minorEastAsia" w:hAnsiTheme="minorEastAsia" w:eastAsiaTheme="minorEastAsia"/>
          <w:sz w:val="24"/>
        </w:rPr>
      </w:pPr>
      <w:bookmarkStart w:id="345" w:name="_Toc20950"/>
      <w:bookmarkStart w:id="346" w:name="_Toc84"/>
      <w:bookmarkStart w:id="347" w:name="_Toc30841"/>
      <w:r>
        <w:rPr>
          <w:rFonts w:hint="eastAsia" w:asciiTheme="minorEastAsia" w:hAnsiTheme="minorEastAsia" w:eastAsiaTheme="minorEastAsia"/>
          <w:sz w:val="24"/>
        </w:rPr>
        <w:t>投 标 日 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45"/>
      <w:bookmarkEnd w:id="346"/>
      <w:bookmarkEnd w:id="347"/>
    </w:p>
    <w:p>
      <w:pPr>
        <w:pStyle w:val="50"/>
        <w:spacing w:before="36" w:after="36"/>
        <w:ind w:firstLine="480"/>
        <w:rPr>
          <w:rFonts w:asciiTheme="minorEastAsia" w:hAnsiTheme="minorEastAsia" w:eastAsiaTheme="minorEastAsia"/>
          <w:sz w:val="24"/>
        </w:rPr>
      </w:pPr>
      <w:bookmarkStart w:id="348" w:name="_Toc217446084"/>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注：</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1、法定代表人不亲自参加投标，而授权代表参加投标的适用本授权书。</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bookmarkEnd w:id="348"/>
    <w:p>
      <w:pPr>
        <w:pStyle w:val="50"/>
        <w:spacing w:before="36" w:after="36"/>
        <w:ind w:firstLine="640"/>
        <w:jc w:val="center"/>
        <w:rPr>
          <w:rFonts w:asciiTheme="minorEastAsia" w:hAnsiTheme="minorEastAsia" w:eastAsiaTheme="minorEastAsia"/>
          <w:sz w:val="24"/>
        </w:rPr>
      </w:pPr>
      <w:bookmarkStart w:id="349" w:name="_Toc28558"/>
      <w:bookmarkStart w:id="350" w:name="_Toc29017"/>
      <w:bookmarkStart w:id="351" w:name="_Toc217446085"/>
      <w:bookmarkStart w:id="352" w:name="_Toc16288"/>
      <w:r>
        <w:rPr>
          <w:rFonts w:hint="eastAsia" w:asciiTheme="minorEastAsia" w:hAnsiTheme="minorEastAsia" w:eastAsiaTheme="minorEastAsia"/>
          <w:sz w:val="32"/>
        </w:rPr>
        <w:t>四、开标一览表</w:t>
      </w:r>
      <w:bookmarkEnd w:id="349"/>
      <w:bookmarkEnd w:id="350"/>
      <w:bookmarkEnd w:id="351"/>
      <w:bookmarkEnd w:id="352"/>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第XX包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1226"/>
        <w:gridCol w:w="1701"/>
        <w:gridCol w:w="1701"/>
        <w:gridCol w:w="77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vAlign w:val="center"/>
          </w:tcPr>
          <w:p>
            <w:pPr>
              <w:pStyle w:val="50"/>
              <w:spacing w:before="36" w:after="36"/>
              <w:ind w:firstLine="0" w:firstLineChars="0"/>
              <w:rPr>
                <w:rFonts w:asciiTheme="minorEastAsia" w:hAnsiTheme="minorEastAsia" w:eastAsiaTheme="minorEastAsia"/>
                <w:sz w:val="24"/>
              </w:rPr>
            </w:pPr>
            <w:bookmarkStart w:id="353" w:name="_Toc24359"/>
            <w:bookmarkStart w:id="354" w:name="_Toc4319"/>
            <w:bookmarkStart w:id="355" w:name="_Toc17196"/>
            <w:r>
              <w:rPr>
                <w:rFonts w:hint="eastAsia" w:asciiTheme="minorEastAsia" w:hAnsiTheme="minorEastAsia" w:eastAsiaTheme="minorEastAsia"/>
                <w:sz w:val="24"/>
              </w:rPr>
              <w:t>序号</w:t>
            </w:r>
            <w:bookmarkEnd w:id="353"/>
            <w:bookmarkEnd w:id="354"/>
            <w:bookmarkEnd w:id="355"/>
          </w:p>
        </w:tc>
        <w:tc>
          <w:tcPr>
            <w:tcW w:w="766" w:type="dxa"/>
            <w:vAlign w:val="center"/>
          </w:tcPr>
          <w:p>
            <w:pPr>
              <w:pStyle w:val="50"/>
              <w:spacing w:before="36" w:after="36"/>
              <w:ind w:firstLine="0" w:firstLineChars="0"/>
              <w:rPr>
                <w:rFonts w:asciiTheme="minorEastAsia" w:hAnsiTheme="minorEastAsia" w:eastAsiaTheme="minorEastAsia"/>
                <w:sz w:val="24"/>
              </w:rPr>
            </w:pPr>
            <w:bookmarkStart w:id="356" w:name="_Toc2276"/>
            <w:bookmarkStart w:id="357" w:name="_Toc25931"/>
            <w:bookmarkStart w:id="358" w:name="_Toc31968"/>
            <w:r>
              <w:rPr>
                <w:rFonts w:hint="eastAsia" w:asciiTheme="minorEastAsia" w:hAnsiTheme="minorEastAsia" w:eastAsiaTheme="minorEastAsia"/>
                <w:sz w:val="24"/>
              </w:rPr>
              <w:t>项目</w:t>
            </w:r>
            <w:bookmarkEnd w:id="356"/>
            <w:bookmarkEnd w:id="357"/>
            <w:bookmarkEnd w:id="358"/>
          </w:p>
          <w:p>
            <w:pPr>
              <w:pStyle w:val="50"/>
              <w:spacing w:before="36" w:after="36"/>
              <w:ind w:firstLine="0" w:firstLineChars="0"/>
              <w:rPr>
                <w:rFonts w:asciiTheme="minorEastAsia" w:hAnsiTheme="minorEastAsia" w:eastAsiaTheme="minorEastAsia"/>
                <w:sz w:val="24"/>
              </w:rPr>
            </w:pPr>
            <w:bookmarkStart w:id="359" w:name="_Toc32260"/>
            <w:bookmarkStart w:id="360" w:name="_Toc6842"/>
            <w:bookmarkStart w:id="361" w:name="_Toc10443"/>
            <w:r>
              <w:rPr>
                <w:rFonts w:hint="eastAsia" w:asciiTheme="minorEastAsia" w:hAnsiTheme="minorEastAsia" w:eastAsiaTheme="minorEastAsia"/>
                <w:sz w:val="24"/>
              </w:rPr>
              <w:t>名称</w:t>
            </w:r>
            <w:bookmarkEnd w:id="359"/>
            <w:bookmarkEnd w:id="360"/>
            <w:bookmarkEnd w:id="361"/>
          </w:p>
        </w:tc>
        <w:tc>
          <w:tcPr>
            <w:tcW w:w="1440" w:type="dxa"/>
            <w:vAlign w:val="center"/>
          </w:tcPr>
          <w:p>
            <w:pPr>
              <w:pStyle w:val="50"/>
              <w:spacing w:before="36" w:after="36"/>
              <w:ind w:firstLine="0" w:firstLineChars="0"/>
              <w:rPr>
                <w:rFonts w:asciiTheme="minorEastAsia" w:hAnsiTheme="minorEastAsia" w:eastAsiaTheme="minorEastAsia"/>
                <w:sz w:val="24"/>
              </w:rPr>
            </w:pPr>
            <w:bookmarkStart w:id="362" w:name="_Toc16143"/>
            <w:bookmarkStart w:id="363" w:name="_Toc16197"/>
            <w:bookmarkStart w:id="364" w:name="_Toc30183"/>
            <w:r>
              <w:rPr>
                <w:rFonts w:hint="eastAsia" w:asciiTheme="minorEastAsia" w:hAnsiTheme="minorEastAsia" w:eastAsiaTheme="minorEastAsia"/>
                <w:sz w:val="24"/>
              </w:rPr>
              <w:t>制造商家及</w:t>
            </w:r>
            <w:bookmarkEnd w:id="362"/>
            <w:bookmarkEnd w:id="363"/>
            <w:bookmarkEnd w:id="364"/>
          </w:p>
          <w:p>
            <w:pPr>
              <w:pStyle w:val="50"/>
              <w:spacing w:before="36" w:after="36"/>
              <w:ind w:firstLine="0" w:firstLineChars="0"/>
              <w:rPr>
                <w:rFonts w:asciiTheme="minorEastAsia" w:hAnsiTheme="minorEastAsia" w:eastAsiaTheme="minorEastAsia"/>
                <w:sz w:val="24"/>
              </w:rPr>
            </w:pPr>
            <w:bookmarkStart w:id="365" w:name="_Toc29790"/>
            <w:bookmarkStart w:id="366" w:name="_Toc11340"/>
            <w:bookmarkStart w:id="367" w:name="_Toc18475"/>
            <w:r>
              <w:rPr>
                <w:rFonts w:hint="eastAsia" w:asciiTheme="minorEastAsia" w:hAnsiTheme="minorEastAsia" w:eastAsiaTheme="minorEastAsia"/>
                <w:sz w:val="24"/>
              </w:rPr>
              <w:t>规格型号</w:t>
            </w:r>
            <w:bookmarkEnd w:id="365"/>
            <w:bookmarkEnd w:id="366"/>
            <w:bookmarkEnd w:id="367"/>
          </w:p>
        </w:tc>
        <w:tc>
          <w:tcPr>
            <w:tcW w:w="1226" w:type="dxa"/>
            <w:vAlign w:val="center"/>
          </w:tcPr>
          <w:p>
            <w:pPr>
              <w:pStyle w:val="50"/>
              <w:spacing w:before="36" w:after="36"/>
              <w:ind w:firstLine="0" w:firstLineChars="0"/>
              <w:rPr>
                <w:rFonts w:asciiTheme="minorEastAsia" w:hAnsiTheme="minorEastAsia" w:eastAsiaTheme="minorEastAsia"/>
                <w:sz w:val="24"/>
              </w:rPr>
            </w:pPr>
            <w:bookmarkStart w:id="368" w:name="_Toc7697"/>
            <w:bookmarkStart w:id="369" w:name="_Toc6579"/>
            <w:bookmarkStart w:id="370" w:name="_Toc24582"/>
            <w:r>
              <w:rPr>
                <w:rFonts w:hint="eastAsia" w:asciiTheme="minorEastAsia" w:hAnsiTheme="minorEastAsia" w:eastAsiaTheme="minorEastAsia"/>
                <w:sz w:val="24"/>
              </w:rPr>
              <w:t>数量</w:t>
            </w:r>
            <w:bookmarkEnd w:id="368"/>
            <w:bookmarkEnd w:id="369"/>
            <w:bookmarkEnd w:id="370"/>
          </w:p>
        </w:tc>
        <w:tc>
          <w:tcPr>
            <w:tcW w:w="1701" w:type="dxa"/>
            <w:vAlign w:val="center"/>
          </w:tcPr>
          <w:p>
            <w:pPr>
              <w:pStyle w:val="50"/>
              <w:spacing w:before="36" w:after="36"/>
              <w:ind w:firstLine="0" w:firstLineChars="0"/>
              <w:rPr>
                <w:rFonts w:asciiTheme="minorEastAsia" w:hAnsiTheme="minorEastAsia" w:eastAsiaTheme="minorEastAsia"/>
                <w:sz w:val="24"/>
              </w:rPr>
            </w:pPr>
            <w:bookmarkStart w:id="371" w:name="_Toc27463"/>
            <w:bookmarkStart w:id="372" w:name="_Toc9911"/>
            <w:bookmarkStart w:id="373" w:name="_Toc31279"/>
            <w:r>
              <w:rPr>
                <w:rFonts w:hint="eastAsia" w:asciiTheme="minorEastAsia" w:hAnsiTheme="minorEastAsia" w:eastAsiaTheme="minorEastAsia"/>
                <w:sz w:val="24"/>
              </w:rPr>
              <w:t>投标单价</w:t>
            </w:r>
            <w:bookmarkEnd w:id="371"/>
            <w:bookmarkEnd w:id="372"/>
            <w:bookmarkEnd w:id="373"/>
          </w:p>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下浮%</w:t>
            </w:r>
          </w:p>
        </w:tc>
        <w:tc>
          <w:tcPr>
            <w:tcW w:w="1701"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投标总价</w:t>
            </w:r>
          </w:p>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下浮%</w:t>
            </w:r>
          </w:p>
        </w:tc>
        <w:tc>
          <w:tcPr>
            <w:tcW w:w="772" w:type="dxa"/>
            <w:vAlign w:val="center"/>
          </w:tcPr>
          <w:p>
            <w:pPr>
              <w:pStyle w:val="50"/>
              <w:spacing w:before="36" w:after="36"/>
              <w:ind w:firstLine="0" w:firstLineChars="0"/>
              <w:rPr>
                <w:rFonts w:asciiTheme="minorEastAsia" w:hAnsiTheme="minorEastAsia" w:eastAsiaTheme="minorEastAsia"/>
                <w:sz w:val="24"/>
              </w:rPr>
            </w:pPr>
            <w:bookmarkStart w:id="374" w:name="_Toc1653"/>
            <w:bookmarkStart w:id="375" w:name="_Toc25929"/>
            <w:bookmarkStart w:id="376" w:name="_Toc17959"/>
            <w:r>
              <w:rPr>
                <w:rFonts w:hint="eastAsia" w:asciiTheme="minorEastAsia" w:hAnsiTheme="minorEastAsia" w:eastAsiaTheme="minorEastAsia"/>
                <w:sz w:val="24"/>
              </w:rPr>
              <w:t>交货</w:t>
            </w:r>
            <w:bookmarkEnd w:id="374"/>
            <w:bookmarkEnd w:id="375"/>
            <w:bookmarkEnd w:id="376"/>
          </w:p>
          <w:p>
            <w:pPr>
              <w:pStyle w:val="50"/>
              <w:spacing w:before="36" w:after="36"/>
              <w:ind w:firstLine="0" w:firstLineChars="0"/>
              <w:rPr>
                <w:rFonts w:asciiTheme="minorEastAsia" w:hAnsiTheme="minorEastAsia" w:eastAsiaTheme="minorEastAsia"/>
                <w:sz w:val="24"/>
              </w:rPr>
            </w:pPr>
            <w:bookmarkStart w:id="377" w:name="_Toc21651"/>
            <w:bookmarkStart w:id="378" w:name="_Toc23578"/>
            <w:bookmarkStart w:id="379" w:name="_Toc415"/>
            <w:r>
              <w:rPr>
                <w:rFonts w:hint="eastAsia" w:asciiTheme="minorEastAsia" w:hAnsiTheme="minorEastAsia" w:eastAsiaTheme="minorEastAsia"/>
                <w:sz w:val="24"/>
              </w:rPr>
              <w:t>时间</w:t>
            </w:r>
            <w:bookmarkEnd w:id="377"/>
            <w:bookmarkEnd w:id="378"/>
            <w:bookmarkEnd w:id="379"/>
          </w:p>
        </w:tc>
        <w:tc>
          <w:tcPr>
            <w:tcW w:w="902" w:type="dxa"/>
            <w:vAlign w:val="center"/>
          </w:tcPr>
          <w:p>
            <w:pPr>
              <w:pStyle w:val="50"/>
              <w:spacing w:before="36" w:after="36"/>
              <w:ind w:firstLine="0" w:firstLineChars="0"/>
              <w:rPr>
                <w:rFonts w:asciiTheme="minorEastAsia" w:hAnsiTheme="minorEastAsia" w:eastAsiaTheme="minorEastAsia"/>
                <w:sz w:val="24"/>
              </w:rPr>
            </w:pPr>
            <w:bookmarkStart w:id="380" w:name="_Toc2184"/>
            <w:bookmarkStart w:id="381" w:name="_Toc14309"/>
            <w:bookmarkStart w:id="382" w:name="_Toc16223"/>
            <w:r>
              <w:rPr>
                <w:rFonts w:hint="eastAsia" w:asciiTheme="minorEastAsia" w:hAnsiTheme="minorEastAsia" w:eastAsiaTheme="minorEastAsia"/>
                <w:sz w:val="24"/>
              </w:rPr>
              <w:t>备注</w:t>
            </w:r>
            <w:bookmarkEnd w:id="380"/>
            <w:bookmarkEnd w:id="381"/>
            <w:bookmarkEnd w:id="3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766" w:type="dxa"/>
            <w:vAlign w:val="center"/>
          </w:tcPr>
          <w:p>
            <w:pPr>
              <w:pStyle w:val="50"/>
              <w:spacing w:before="36" w:after="36"/>
              <w:ind w:firstLine="480"/>
              <w:rPr>
                <w:rFonts w:asciiTheme="minorEastAsia" w:hAnsiTheme="minorEastAsia" w:eastAsiaTheme="minorEastAsia"/>
                <w:sz w:val="24"/>
              </w:rPr>
            </w:pPr>
          </w:p>
        </w:tc>
        <w:tc>
          <w:tcPr>
            <w:tcW w:w="1440" w:type="dxa"/>
            <w:vAlign w:val="center"/>
          </w:tcPr>
          <w:p>
            <w:pPr>
              <w:pStyle w:val="50"/>
              <w:spacing w:before="36" w:after="36"/>
              <w:ind w:firstLine="480"/>
              <w:rPr>
                <w:rFonts w:asciiTheme="minorEastAsia" w:hAnsiTheme="minorEastAsia" w:eastAsiaTheme="minorEastAsia"/>
                <w:sz w:val="24"/>
              </w:rPr>
            </w:pPr>
          </w:p>
        </w:tc>
        <w:tc>
          <w:tcPr>
            <w:tcW w:w="1226"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根据广汉市人民医院实际使用量计算</w:t>
            </w:r>
          </w:p>
        </w:tc>
        <w:tc>
          <w:tcPr>
            <w:tcW w:w="1701"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772" w:type="dxa"/>
            <w:vAlign w:val="center"/>
          </w:tcPr>
          <w:p>
            <w:pPr>
              <w:pStyle w:val="50"/>
              <w:spacing w:before="36" w:after="36"/>
              <w:ind w:firstLine="480"/>
              <w:rPr>
                <w:rFonts w:asciiTheme="minorEastAsia" w:hAnsiTheme="minorEastAsia" w:eastAsiaTheme="minorEastAsia"/>
                <w:sz w:val="24"/>
              </w:rPr>
            </w:pPr>
          </w:p>
        </w:tc>
        <w:tc>
          <w:tcPr>
            <w:tcW w:w="902"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766" w:type="dxa"/>
            <w:vAlign w:val="center"/>
          </w:tcPr>
          <w:p>
            <w:pPr>
              <w:pStyle w:val="50"/>
              <w:spacing w:before="36" w:after="36"/>
              <w:ind w:firstLine="480"/>
              <w:rPr>
                <w:rFonts w:asciiTheme="minorEastAsia" w:hAnsiTheme="minorEastAsia" w:eastAsiaTheme="minorEastAsia"/>
                <w:sz w:val="24"/>
              </w:rPr>
            </w:pPr>
          </w:p>
        </w:tc>
        <w:tc>
          <w:tcPr>
            <w:tcW w:w="1440" w:type="dxa"/>
            <w:vAlign w:val="center"/>
          </w:tcPr>
          <w:p>
            <w:pPr>
              <w:pStyle w:val="50"/>
              <w:spacing w:before="36" w:after="36"/>
              <w:ind w:firstLine="480"/>
              <w:rPr>
                <w:rFonts w:asciiTheme="minorEastAsia" w:hAnsiTheme="minorEastAsia" w:eastAsiaTheme="minorEastAsia"/>
                <w:sz w:val="24"/>
              </w:rPr>
            </w:pPr>
          </w:p>
        </w:tc>
        <w:tc>
          <w:tcPr>
            <w:tcW w:w="1226"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772" w:type="dxa"/>
            <w:vAlign w:val="center"/>
          </w:tcPr>
          <w:p>
            <w:pPr>
              <w:pStyle w:val="50"/>
              <w:spacing w:before="36" w:after="36"/>
              <w:ind w:firstLine="480"/>
              <w:rPr>
                <w:rFonts w:asciiTheme="minorEastAsia" w:hAnsiTheme="minorEastAsia" w:eastAsiaTheme="minorEastAsia"/>
                <w:sz w:val="24"/>
              </w:rPr>
            </w:pPr>
          </w:p>
        </w:tc>
        <w:tc>
          <w:tcPr>
            <w:tcW w:w="902"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8508" w:type="dxa"/>
            <w:gridSpan w:val="7"/>
          </w:tcPr>
          <w:p>
            <w:pPr>
              <w:pStyle w:val="50"/>
              <w:spacing w:before="36" w:after="36"/>
              <w:ind w:firstLine="480"/>
              <w:rPr>
                <w:rFonts w:asciiTheme="minorEastAsia" w:hAnsiTheme="minorEastAsia" w:eastAsiaTheme="minorEastAsia"/>
                <w:sz w:val="24"/>
              </w:rPr>
            </w:pPr>
            <w:bookmarkStart w:id="383" w:name="_Toc8814"/>
            <w:bookmarkStart w:id="384" w:name="_Toc7643"/>
            <w:bookmarkStart w:id="385" w:name="_Toc271"/>
            <w:r>
              <w:rPr>
                <w:rFonts w:hint="eastAsia" w:asciiTheme="minorEastAsia" w:hAnsiTheme="minorEastAsia" w:eastAsiaTheme="minorEastAsia"/>
                <w:sz w:val="24"/>
              </w:rPr>
              <w:t>报价（折扣率）：</w:t>
            </w:r>
            <w:r>
              <w:rPr>
                <w:rFonts w:asciiTheme="minorEastAsia" w:hAnsiTheme="minorEastAsia" w:eastAsiaTheme="minorEastAsia"/>
                <w:sz w:val="24"/>
              </w:rPr>
              <w:t xml:space="preserve">          </w:t>
            </w:r>
            <w:r>
              <w:rPr>
                <w:rFonts w:hint="eastAsia" w:asciiTheme="minorEastAsia" w:hAnsiTheme="minorEastAsia" w:eastAsiaTheme="minorEastAsia"/>
                <w:sz w:val="24"/>
              </w:rPr>
              <w:t>大写：</w:t>
            </w:r>
            <w:bookmarkEnd w:id="383"/>
            <w:bookmarkEnd w:id="384"/>
            <w:bookmarkEnd w:id="385"/>
          </w:p>
        </w:tc>
      </w:tr>
    </w:tbl>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注：1. 报价应是最终用户验收合格后的总价，包括设备运输、保险、代理、安装调试、培训、税费和招标文件规定的其它费用。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2.折扣率是指：对最高限价单价进行下浮，下浮的单价占最高限价单价的百分比，即:投标折扣率=下浮的单价/最高限价×100%。（每包所有产品折扣率一致）</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例如：投标人提供货物收费在最高限价单价基础上下浮10%，则其投标折扣率为10%。</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3.“开标一览表”为多页的，每页均需由法定代表人或授权代表签字并盖投标人印章。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4.“开标一览表”以包为单位填写。</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u w:val="single"/>
        </w:rPr>
      </w:pPr>
    </w:p>
    <w:p>
      <w:pPr>
        <w:pStyle w:val="50"/>
        <w:spacing w:before="36" w:after="36"/>
        <w:ind w:firstLine="640"/>
        <w:jc w:val="center"/>
        <w:rPr>
          <w:rFonts w:asciiTheme="minorEastAsia" w:hAnsiTheme="minorEastAsia" w:eastAsiaTheme="minorEastAsia"/>
          <w:sz w:val="24"/>
        </w:rPr>
      </w:pPr>
      <w:bookmarkStart w:id="386" w:name="_Toc217446086"/>
      <w:bookmarkStart w:id="387" w:name="_Toc8334"/>
      <w:bookmarkStart w:id="388" w:name="_Toc32148"/>
      <w:bookmarkStart w:id="389" w:name="_Toc11820"/>
      <w:r>
        <w:rPr>
          <w:rFonts w:hint="eastAsia" w:asciiTheme="minorEastAsia" w:hAnsiTheme="minorEastAsia" w:eastAsiaTheme="minorEastAsia"/>
          <w:sz w:val="32"/>
        </w:rPr>
        <w:t>五、分项报价明细表</w:t>
      </w:r>
      <w:bookmarkEnd w:id="386"/>
      <w:bookmarkEnd w:id="387"/>
      <w:bookmarkEnd w:id="388"/>
      <w:bookmarkEnd w:id="389"/>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第XX包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872"/>
        <w:gridCol w:w="1313"/>
        <w:gridCol w:w="108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exact"/>
          <w:jc w:val="center"/>
        </w:trPr>
        <w:tc>
          <w:tcPr>
            <w:tcW w:w="877" w:type="dxa"/>
            <w:vAlign w:val="center"/>
          </w:tcPr>
          <w:p>
            <w:pPr>
              <w:pStyle w:val="50"/>
              <w:spacing w:before="36" w:after="36"/>
              <w:ind w:firstLine="0" w:firstLineChars="0"/>
              <w:rPr>
                <w:rFonts w:asciiTheme="minorEastAsia" w:hAnsiTheme="minorEastAsia" w:eastAsiaTheme="minorEastAsia"/>
                <w:sz w:val="24"/>
              </w:rPr>
            </w:pPr>
            <w:bookmarkStart w:id="390" w:name="_Toc22465"/>
            <w:bookmarkStart w:id="391" w:name="_Toc31323"/>
            <w:bookmarkStart w:id="392" w:name="_Toc20492"/>
            <w:r>
              <w:rPr>
                <w:rFonts w:hint="eastAsia" w:asciiTheme="minorEastAsia" w:hAnsiTheme="minorEastAsia" w:eastAsiaTheme="minorEastAsia"/>
                <w:sz w:val="24"/>
              </w:rPr>
              <w:t>序号</w:t>
            </w:r>
            <w:bookmarkEnd w:id="390"/>
            <w:bookmarkEnd w:id="391"/>
            <w:bookmarkEnd w:id="392"/>
          </w:p>
        </w:tc>
        <w:tc>
          <w:tcPr>
            <w:tcW w:w="1275" w:type="dxa"/>
            <w:vAlign w:val="center"/>
          </w:tcPr>
          <w:p>
            <w:pPr>
              <w:pStyle w:val="50"/>
              <w:spacing w:before="36" w:after="36"/>
              <w:ind w:firstLine="0" w:firstLineChars="0"/>
              <w:rPr>
                <w:rFonts w:asciiTheme="minorEastAsia" w:hAnsiTheme="minorEastAsia" w:eastAsiaTheme="minorEastAsia"/>
                <w:sz w:val="24"/>
              </w:rPr>
            </w:pPr>
            <w:bookmarkStart w:id="393" w:name="_Toc18453"/>
            <w:bookmarkStart w:id="394" w:name="_Toc22576"/>
            <w:bookmarkStart w:id="395" w:name="_Toc28934"/>
            <w:r>
              <w:rPr>
                <w:rFonts w:hint="eastAsia" w:asciiTheme="minorEastAsia" w:hAnsiTheme="minorEastAsia" w:eastAsiaTheme="minorEastAsia"/>
                <w:sz w:val="24"/>
              </w:rPr>
              <w:t>产品名称</w:t>
            </w:r>
            <w:bookmarkEnd w:id="393"/>
            <w:bookmarkEnd w:id="394"/>
            <w:bookmarkEnd w:id="395"/>
          </w:p>
        </w:tc>
        <w:tc>
          <w:tcPr>
            <w:tcW w:w="1360" w:type="dxa"/>
            <w:vAlign w:val="center"/>
          </w:tcPr>
          <w:p>
            <w:pPr>
              <w:pStyle w:val="50"/>
              <w:spacing w:before="36" w:after="36"/>
              <w:ind w:firstLine="0" w:firstLineChars="0"/>
              <w:rPr>
                <w:rFonts w:asciiTheme="minorEastAsia" w:hAnsiTheme="minorEastAsia" w:eastAsiaTheme="minorEastAsia"/>
                <w:sz w:val="24"/>
              </w:rPr>
            </w:pPr>
            <w:bookmarkStart w:id="396" w:name="_Toc17091"/>
            <w:bookmarkStart w:id="397" w:name="_Toc9825"/>
            <w:bookmarkStart w:id="398" w:name="_Toc23860"/>
            <w:r>
              <w:rPr>
                <w:rFonts w:hint="eastAsia" w:asciiTheme="minorEastAsia" w:hAnsiTheme="minorEastAsia" w:eastAsiaTheme="minorEastAsia"/>
                <w:sz w:val="24"/>
              </w:rPr>
              <w:t>规格型号</w:t>
            </w:r>
            <w:bookmarkEnd w:id="396"/>
            <w:bookmarkEnd w:id="397"/>
            <w:bookmarkEnd w:id="398"/>
          </w:p>
        </w:tc>
        <w:tc>
          <w:tcPr>
            <w:tcW w:w="888" w:type="dxa"/>
            <w:vAlign w:val="center"/>
          </w:tcPr>
          <w:p>
            <w:pPr>
              <w:pStyle w:val="50"/>
              <w:spacing w:before="36" w:after="36"/>
              <w:ind w:firstLine="0" w:firstLineChars="0"/>
              <w:rPr>
                <w:rFonts w:asciiTheme="minorEastAsia" w:hAnsiTheme="minorEastAsia" w:eastAsiaTheme="minorEastAsia"/>
                <w:sz w:val="24"/>
              </w:rPr>
            </w:pPr>
            <w:bookmarkStart w:id="399" w:name="_Toc12778"/>
            <w:bookmarkStart w:id="400" w:name="_Toc6196"/>
            <w:bookmarkStart w:id="401" w:name="_Toc17031"/>
            <w:r>
              <w:rPr>
                <w:rFonts w:hint="eastAsia" w:asciiTheme="minorEastAsia" w:hAnsiTheme="minorEastAsia" w:eastAsiaTheme="minorEastAsia"/>
                <w:sz w:val="24"/>
              </w:rPr>
              <w:t>品牌</w:t>
            </w:r>
            <w:bookmarkEnd w:id="399"/>
            <w:bookmarkEnd w:id="400"/>
            <w:bookmarkEnd w:id="401"/>
          </w:p>
        </w:tc>
        <w:tc>
          <w:tcPr>
            <w:tcW w:w="872" w:type="dxa"/>
            <w:vAlign w:val="center"/>
          </w:tcPr>
          <w:p>
            <w:pPr>
              <w:pStyle w:val="50"/>
              <w:spacing w:before="36" w:after="36"/>
              <w:ind w:firstLine="0" w:firstLineChars="0"/>
              <w:rPr>
                <w:rFonts w:asciiTheme="minorEastAsia" w:hAnsiTheme="minorEastAsia" w:eastAsiaTheme="minorEastAsia"/>
                <w:sz w:val="24"/>
              </w:rPr>
            </w:pPr>
            <w:bookmarkStart w:id="402" w:name="_Toc16469"/>
            <w:bookmarkStart w:id="403" w:name="_Toc13112"/>
            <w:bookmarkStart w:id="404" w:name="_Toc3947"/>
            <w:r>
              <w:rPr>
                <w:rFonts w:hint="eastAsia" w:asciiTheme="minorEastAsia" w:hAnsiTheme="minorEastAsia" w:eastAsiaTheme="minorEastAsia"/>
                <w:sz w:val="24"/>
              </w:rPr>
              <w:t>单位</w:t>
            </w:r>
            <w:bookmarkEnd w:id="402"/>
            <w:bookmarkEnd w:id="403"/>
            <w:bookmarkEnd w:id="404"/>
          </w:p>
        </w:tc>
        <w:tc>
          <w:tcPr>
            <w:tcW w:w="1313" w:type="dxa"/>
            <w:vAlign w:val="center"/>
          </w:tcPr>
          <w:p>
            <w:pPr>
              <w:pStyle w:val="50"/>
              <w:spacing w:before="36" w:after="36"/>
              <w:ind w:firstLine="0" w:firstLineChars="0"/>
              <w:rPr>
                <w:rFonts w:asciiTheme="minorEastAsia" w:hAnsiTheme="minorEastAsia" w:eastAsiaTheme="minorEastAsia"/>
                <w:sz w:val="24"/>
              </w:rPr>
            </w:pPr>
            <w:bookmarkStart w:id="405" w:name="_Toc21792"/>
            <w:bookmarkStart w:id="406" w:name="_Toc13632"/>
            <w:bookmarkStart w:id="407" w:name="_Toc730"/>
            <w:r>
              <w:rPr>
                <w:rFonts w:hint="eastAsia" w:asciiTheme="minorEastAsia" w:hAnsiTheme="minorEastAsia" w:eastAsiaTheme="minorEastAsia"/>
                <w:sz w:val="24"/>
              </w:rPr>
              <w:t>数量</w:t>
            </w:r>
            <w:bookmarkEnd w:id="405"/>
            <w:bookmarkEnd w:id="406"/>
            <w:bookmarkEnd w:id="407"/>
          </w:p>
        </w:tc>
        <w:tc>
          <w:tcPr>
            <w:tcW w:w="1084"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报价（</w:t>
            </w:r>
            <w:r>
              <w:rPr>
                <w:rFonts w:hint="eastAsia" w:asciiTheme="minorEastAsia" w:hAnsiTheme="minorEastAsia" w:eastAsiaTheme="minorEastAsia"/>
                <w:bCs/>
                <w:sz w:val="24"/>
              </w:rPr>
              <w:t>折扣率</w:t>
            </w:r>
            <w:r>
              <w:rPr>
                <w:rFonts w:hint="eastAsia" w:asciiTheme="minorEastAsia" w:hAnsiTheme="minorEastAsia" w:eastAsiaTheme="minorEastAsia"/>
                <w:sz w:val="24"/>
              </w:rPr>
              <w:t>）</w:t>
            </w:r>
          </w:p>
        </w:tc>
        <w:tc>
          <w:tcPr>
            <w:tcW w:w="851" w:type="dxa"/>
            <w:vAlign w:val="center"/>
          </w:tcPr>
          <w:p>
            <w:pPr>
              <w:pStyle w:val="50"/>
              <w:spacing w:before="36" w:after="36"/>
              <w:ind w:firstLine="0" w:firstLineChars="0"/>
              <w:rPr>
                <w:rFonts w:asciiTheme="minorEastAsia" w:hAnsiTheme="minorEastAsia" w:eastAsiaTheme="minorEastAsia"/>
                <w:sz w:val="24"/>
              </w:rPr>
            </w:pPr>
            <w:bookmarkStart w:id="408" w:name="_Toc16487"/>
            <w:bookmarkStart w:id="409" w:name="_Toc19423"/>
            <w:bookmarkStart w:id="410" w:name="_Toc4348"/>
            <w:r>
              <w:rPr>
                <w:rFonts w:hint="eastAsia" w:asciiTheme="minorEastAsia" w:hAnsiTheme="minorEastAsia" w:eastAsiaTheme="minorEastAsia"/>
                <w:sz w:val="24"/>
              </w:rPr>
              <w:t>备注</w:t>
            </w:r>
            <w:bookmarkEnd w:id="408"/>
            <w:bookmarkEnd w:id="409"/>
            <w:bookmarkEnd w:id="4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根据广汉市人民医院实际使用量计算</w:t>
            </w: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6792" w:type="dxa"/>
            <w:gridSpan w:val="6"/>
            <w:vAlign w:val="center"/>
          </w:tcPr>
          <w:p>
            <w:pPr>
              <w:pStyle w:val="50"/>
              <w:spacing w:before="36" w:after="36"/>
              <w:ind w:firstLine="480"/>
              <w:rPr>
                <w:rFonts w:asciiTheme="minorEastAsia" w:hAnsiTheme="minorEastAsia" w:eastAsiaTheme="minorEastAsia"/>
                <w:sz w:val="24"/>
              </w:rPr>
            </w:pPr>
            <w:bookmarkStart w:id="411" w:name="_Toc12088"/>
            <w:bookmarkStart w:id="412" w:name="_Toc28989"/>
            <w:bookmarkStart w:id="413" w:name="_Toc28107"/>
            <w:r>
              <w:rPr>
                <w:rFonts w:hint="eastAsia" w:asciiTheme="minorEastAsia" w:hAnsiTheme="minorEastAsia" w:eastAsiaTheme="minorEastAsia"/>
                <w:sz w:val="24"/>
              </w:rPr>
              <w:t>报价（折扣率）：</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大写：</w:t>
            </w:r>
            <w:bookmarkEnd w:id="411"/>
            <w:bookmarkEnd w:id="412"/>
            <w:bookmarkEnd w:id="413"/>
          </w:p>
        </w:tc>
        <w:tc>
          <w:tcPr>
            <w:tcW w:w="851" w:type="dxa"/>
            <w:vAlign w:val="center"/>
          </w:tcPr>
          <w:p>
            <w:pPr>
              <w:pStyle w:val="50"/>
              <w:spacing w:before="36" w:after="36"/>
              <w:ind w:firstLine="480"/>
              <w:rPr>
                <w:rFonts w:asciiTheme="minorEastAsia" w:hAnsiTheme="minorEastAsia" w:eastAsiaTheme="minorEastAsia"/>
                <w:sz w:val="24"/>
              </w:rPr>
            </w:pPr>
          </w:p>
        </w:tc>
      </w:tr>
    </w:tbl>
    <w:p>
      <w:pPr>
        <w:pStyle w:val="50"/>
        <w:spacing w:before="36" w:after="36"/>
        <w:ind w:firstLine="480"/>
        <w:rPr>
          <w:rFonts w:asciiTheme="minorEastAsia" w:hAnsiTheme="minorEastAsia" w:eastAsiaTheme="minorEastAsia"/>
          <w:sz w:val="24"/>
          <w:u w:val="single"/>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注：1、投标人必须按“分项报价明细表”的格式详细报出投标总价的各个组成部分的报价，否则作无效投标处理。</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    2、“分项报价明细表”报价应当与“开标一览表”报价相等。</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    3、折扣率是指：对最高限价单价进行下浮，下浮的单价占最高限价单价的百分比，即:投标折扣率=下浮的单价/最高限价×100%。（每包所有产品折扣率一致）</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例如：投标人提供货物收费在最高限价单价基础上下浮10%，则其投标折扣率为10%。</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560"/>
        <w:rPr>
          <w:rFonts w:asciiTheme="minorEastAsia" w:hAnsiTheme="minorEastAsia" w:eastAsiaTheme="minorEastAsia"/>
        </w:rPr>
        <w:sectPr>
          <w:footerReference r:id="rId7" w:type="default"/>
          <w:pgSz w:w="11907" w:h="16840"/>
          <w:pgMar w:top="1440" w:right="1474" w:bottom="1440" w:left="1474" w:header="851" w:footer="992" w:gutter="0"/>
          <w:pgNumType w:start="1"/>
          <w:cols w:space="720" w:num="1"/>
          <w:docGrid w:linePitch="312" w:charSpace="0"/>
        </w:sectPr>
      </w:pPr>
    </w:p>
    <w:p>
      <w:pPr>
        <w:pStyle w:val="50"/>
        <w:spacing w:before="46" w:after="46"/>
        <w:ind w:firstLine="640"/>
        <w:jc w:val="center"/>
        <w:rPr>
          <w:rFonts w:asciiTheme="minorEastAsia" w:hAnsiTheme="minorEastAsia" w:eastAsiaTheme="minorEastAsia"/>
          <w:sz w:val="24"/>
        </w:rPr>
      </w:pPr>
      <w:bookmarkStart w:id="414" w:name="_Toc4957"/>
      <w:bookmarkStart w:id="415" w:name="_Toc24955"/>
      <w:bookmarkStart w:id="416" w:name="_Toc10952"/>
      <w:bookmarkStart w:id="417" w:name="_Toc217446087"/>
      <w:r>
        <w:rPr>
          <w:rFonts w:hint="eastAsia" w:asciiTheme="minorEastAsia" w:hAnsiTheme="minorEastAsia" w:eastAsiaTheme="minorEastAsia"/>
          <w:sz w:val="32"/>
        </w:rPr>
        <w:t>六、商务应答表</w:t>
      </w:r>
      <w:bookmarkEnd w:id="414"/>
      <w:bookmarkEnd w:id="415"/>
      <w:bookmarkEnd w:id="416"/>
      <w:bookmarkEnd w:id="417"/>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r>
        <w:rPr>
          <w:rFonts w:asciiTheme="minorEastAsia" w:hAnsiTheme="minorEastAsia" w:eastAsiaTheme="minorEastAsia"/>
          <w:sz w:val="24"/>
        </w:rPr>
        <w:t xml:space="preserve">                                            </w:t>
      </w:r>
    </w:p>
    <w:tbl>
      <w:tblPr>
        <w:tblStyle w:val="24"/>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pStyle w:val="50"/>
              <w:spacing w:before="46" w:after="46"/>
              <w:ind w:firstLine="0" w:firstLineChars="0"/>
              <w:rPr>
                <w:rFonts w:asciiTheme="minorEastAsia" w:hAnsiTheme="minorEastAsia" w:eastAsiaTheme="minorEastAsia"/>
                <w:sz w:val="24"/>
              </w:rPr>
            </w:pPr>
            <w:bookmarkStart w:id="418" w:name="_Toc13247"/>
            <w:bookmarkStart w:id="419" w:name="_Toc11574"/>
            <w:bookmarkStart w:id="420" w:name="_Toc22242"/>
            <w:r>
              <w:rPr>
                <w:rFonts w:hint="eastAsia" w:asciiTheme="minorEastAsia" w:hAnsiTheme="minorEastAsia" w:eastAsiaTheme="minorEastAsia"/>
                <w:sz w:val="24"/>
              </w:rPr>
              <w:t>序号</w:t>
            </w:r>
            <w:bookmarkEnd w:id="418"/>
            <w:bookmarkEnd w:id="419"/>
            <w:bookmarkEnd w:id="420"/>
          </w:p>
        </w:tc>
        <w:tc>
          <w:tcPr>
            <w:tcW w:w="956" w:type="dxa"/>
            <w:vAlign w:val="center"/>
          </w:tcPr>
          <w:p>
            <w:pPr>
              <w:pStyle w:val="50"/>
              <w:spacing w:before="46" w:after="46"/>
              <w:ind w:firstLine="0" w:firstLineChars="0"/>
              <w:rPr>
                <w:rFonts w:asciiTheme="minorEastAsia" w:hAnsiTheme="minorEastAsia" w:eastAsiaTheme="minorEastAsia"/>
                <w:sz w:val="24"/>
              </w:rPr>
            </w:pPr>
            <w:bookmarkStart w:id="421" w:name="_Toc21313"/>
            <w:bookmarkStart w:id="422" w:name="_Toc14838"/>
            <w:bookmarkStart w:id="423" w:name="_Toc17632"/>
            <w:r>
              <w:rPr>
                <w:rFonts w:hint="eastAsia" w:asciiTheme="minorEastAsia" w:hAnsiTheme="minorEastAsia" w:eastAsiaTheme="minorEastAsia"/>
                <w:sz w:val="24"/>
              </w:rPr>
              <w:t>包号</w:t>
            </w:r>
            <w:bookmarkEnd w:id="421"/>
            <w:bookmarkEnd w:id="422"/>
            <w:bookmarkEnd w:id="423"/>
          </w:p>
        </w:tc>
        <w:tc>
          <w:tcPr>
            <w:tcW w:w="1516" w:type="dxa"/>
            <w:vAlign w:val="center"/>
          </w:tcPr>
          <w:p>
            <w:pPr>
              <w:pStyle w:val="50"/>
              <w:spacing w:before="46" w:after="46"/>
              <w:ind w:firstLine="0" w:firstLineChars="0"/>
              <w:rPr>
                <w:rFonts w:asciiTheme="minorEastAsia" w:hAnsiTheme="minorEastAsia" w:eastAsiaTheme="minorEastAsia"/>
                <w:sz w:val="24"/>
              </w:rPr>
            </w:pPr>
            <w:bookmarkStart w:id="424" w:name="_Toc19788"/>
            <w:bookmarkStart w:id="425" w:name="_Toc1436"/>
            <w:bookmarkStart w:id="426" w:name="_Toc17667"/>
            <w:r>
              <w:rPr>
                <w:rFonts w:hint="eastAsia" w:asciiTheme="minorEastAsia" w:hAnsiTheme="minorEastAsia" w:eastAsiaTheme="minorEastAsia"/>
                <w:sz w:val="24"/>
              </w:rPr>
              <w:t>招标要求</w:t>
            </w:r>
            <w:bookmarkEnd w:id="424"/>
            <w:bookmarkEnd w:id="425"/>
            <w:bookmarkEnd w:id="426"/>
          </w:p>
        </w:tc>
        <w:tc>
          <w:tcPr>
            <w:tcW w:w="4852" w:type="dxa"/>
            <w:vAlign w:val="center"/>
          </w:tcPr>
          <w:p>
            <w:pPr>
              <w:pStyle w:val="50"/>
              <w:spacing w:before="46" w:after="46"/>
              <w:ind w:firstLine="480"/>
              <w:rPr>
                <w:rFonts w:asciiTheme="minorEastAsia" w:hAnsiTheme="minorEastAsia" w:eastAsiaTheme="minorEastAsia"/>
                <w:sz w:val="24"/>
              </w:rPr>
            </w:pPr>
            <w:bookmarkStart w:id="427" w:name="_Toc14038"/>
            <w:bookmarkStart w:id="428" w:name="_Toc19386"/>
            <w:bookmarkStart w:id="429" w:name="_Toc3318"/>
            <w:r>
              <w:rPr>
                <w:rFonts w:hint="eastAsia" w:asciiTheme="minorEastAsia" w:hAnsiTheme="minorEastAsia" w:eastAsiaTheme="minorEastAsia"/>
                <w:sz w:val="24"/>
              </w:rPr>
              <w:t>投标应答</w:t>
            </w:r>
            <w:bookmarkEnd w:id="427"/>
            <w:bookmarkEnd w:id="428"/>
            <w:bookmarkEnd w:id="4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bookmarkStart w:id="430" w:name="_Toc11685"/>
      <w:bookmarkStart w:id="431" w:name="_Toc6521"/>
      <w:bookmarkStart w:id="432" w:name="_Toc12772"/>
      <w:r>
        <w:rPr>
          <w:rFonts w:hint="eastAsia" w:asciiTheme="minorEastAsia" w:hAnsiTheme="minorEastAsia" w:eastAsiaTheme="minorEastAsia"/>
          <w:sz w:val="24"/>
        </w:rPr>
        <w:t>注：供应商必须据实填写，不得虚假应答，否则将取消其投标或中标资格。</w:t>
      </w:r>
      <w:bookmarkEnd w:id="430"/>
      <w:bookmarkEnd w:id="431"/>
      <w:bookmarkEnd w:id="432"/>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433" w:name="_Toc8550"/>
      <w:bookmarkStart w:id="434" w:name="_Toc1663"/>
      <w:bookmarkStart w:id="435" w:name="_Toc24843"/>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433"/>
      <w:bookmarkEnd w:id="434"/>
      <w:bookmarkEnd w:id="435"/>
    </w:p>
    <w:p>
      <w:pPr>
        <w:pStyle w:val="50"/>
        <w:spacing w:before="46" w:after="46"/>
        <w:ind w:firstLine="480"/>
        <w:rPr>
          <w:rFonts w:asciiTheme="minorEastAsia" w:hAnsiTheme="minorEastAsia" w:eastAsiaTheme="minorEastAsia"/>
          <w:sz w:val="24"/>
        </w:rPr>
      </w:pPr>
      <w:bookmarkStart w:id="436" w:name="_Toc31244"/>
      <w:bookmarkStart w:id="437" w:name="_Toc32110"/>
      <w:bookmarkStart w:id="438" w:name="_Toc1174"/>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436"/>
      <w:bookmarkEnd w:id="437"/>
      <w:bookmarkEnd w:id="438"/>
    </w:p>
    <w:p>
      <w:pPr>
        <w:pStyle w:val="50"/>
        <w:spacing w:before="46" w:after="46"/>
        <w:ind w:firstLine="480"/>
        <w:rPr>
          <w:rFonts w:asciiTheme="minorEastAsia" w:hAnsiTheme="minorEastAsia" w:eastAsiaTheme="minorEastAsia"/>
          <w:sz w:val="24"/>
        </w:rPr>
      </w:pPr>
      <w:bookmarkStart w:id="439" w:name="_Toc4872"/>
      <w:bookmarkStart w:id="440" w:name="_Toc4386"/>
      <w:bookmarkStart w:id="441" w:name="_Toc15774"/>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439"/>
      <w:bookmarkEnd w:id="440"/>
      <w:bookmarkEnd w:id="441"/>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bookmarkStart w:id="442" w:name="_Toc217446088"/>
    </w:p>
    <w:p>
      <w:pPr>
        <w:pStyle w:val="50"/>
        <w:spacing w:before="46" w:after="46"/>
        <w:ind w:firstLine="640"/>
        <w:jc w:val="center"/>
        <w:rPr>
          <w:rFonts w:asciiTheme="minorEastAsia" w:hAnsiTheme="minorEastAsia" w:eastAsiaTheme="minorEastAsia"/>
          <w:sz w:val="24"/>
        </w:rPr>
      </w:pPr>
      <w:bookmarkStart w:id="443" w:name="_Toc22012"/>
      <w:bookmarkStart w:id="444" w:name="_Toc20933"/>
      <w:bookmarkStart w:id="445" w:name="_Toc5158"/>
      <w:r>
        <w:rPr>
          <w:rFonts w:hint="eastAsia" w:asciiTheme="minorEastAsia" w:hAnsiTheme="minorEastAsia" w:eastAsiaTheme="minorEastAsia"/>
          <w:sz w:val="32"/>
        </w:rPr>
        <w:t>七、投标人基本情况表</w:t>
      </w:r>
      <w:bookmarkEnd w:id="442"/>
      <w:bookmarkEnd w:id="443"/>
      <w:bookmarkEnd w:id="444"/>
      <w:bookmarkEnd w:id="445"/>
    </w:p>
    <w:tbl>
      <w:tblPr>
        <w:tblStyle w:val="24"/>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811"/>
        <w:gridCol w:w="181"/>
        <w:gridCol w:w="1058"/>
        <w:gridCol w:w="1247"/>
        <w:gridCol w:w="1320"/>
        <w:gridCol w:w="344"/>
        <w:gridCol w:w="50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tcBorders>
              <w:top w:val="single" w:color="auto" w:sz="18" w:space="0"/>
            </w:tcBorders>
            <w:vAlign w:val="center"/>
          </w:tcPr>
          <w:p>
            <w:pPr>
              <w:pStyle w:val="50"/>
              <w:spacing w:before="46" w:after="46"/>
              <w:ind w:firstLine="0" w:firstLineChars="0"/>
              <w:rPr>
                <w:rFonts w:asciiTheme="minorEastAsia" w:hAnsiTheme="minorEastAsia" w:eastAsiaTheme="minorEastAsia"/>
                <w:sz w:val="24"/>
              </w:rPr>
            </w:pPr>
            <w:bookmarkStart w:id="446" w:name="_Toc16221"/>
            <w:bookmarkStart w:id="447" w:name="_Toc9877"/>
            <w:bookmarkStart w:id="448" w:name="_Toc3095"/>
            <w:r>
              <w:rPr>
                <w:rFonts w:hint="eastAsia" w:asciiTheme="minorEastAsia" w:hAnsiTheme="minorEastAsia" w:eastAsiaTheme="minorEastAsia"/>
                <w:sz w:val="24"/>
              </w:rPr>
              <w:t>投标人名称</w:t>
            </w:r>
            <w:bookmarkEnd w:id="446"/>
            <w:bookmarkEnd w:id="447"/>
            <w:bookmarkEnd w:id="448"/>
          </w:p>
        </w:tc>
        <w:tc>
          <w:tcPr>
            <w:tcW w:w="6547" w:type="dxa"/>
            <w:gridSpan w:val="8"/>
            <w:tcBorders>
              <w:top w:val="single" w:color="auto" w:sz="18"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49" w:name="_Toc6321"/>
            <w:bookmarkStart w:id="450" w:name="_Toc7300"/>
            <w:bookmarkStart w:id="451" w:name="_Toc23039"/>
            <w:r>
              <w:rPr>
                <w:rFonts w:hint="eastAsia" w:asciiTheme="minorEastAsia" w:hAnsiTheme="minorEastAsia" w:eastAsiaTheme="minorEastAsia"/>
                <w:sz w:val="24"/>
              </w:rPr>
              <w:t>注册地址</w:t>
            </w:r>
            <w:bookmarkEnd w:id="449"/>
            <w:bookmarkEnd w:id="450"/>
            <w:bookmarkEnd w:id="451"/>
          </w:p>
        </w:tc>
        <w:tc>
          <w:tcPr>
            <w:tcW w:w="3297" w:type="dxa"/>
            <w:gridSpan w:val="4"/>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0" w:firstLineChars="0"/>
              <w:rPr>
                <w:rFonts w:asciiTheme="minorEastAsia" w:hAnsiTheme="minorEastAsia" w:eastAsiaTheme="minorEastAsia"/>
                <w:sz w:val="24"/>
              </w:rPr>
            </w:pPr>
            <w:bookmarkStart w:id="452" w:name="_Toc1981"/>
            <w:bookmarkStart w:id="453" w:name="_Toc29684"/>
            <w:bookmarkStart w:id="454" w:name="_Toc5666"/>
            <w:r>
              <w:rPr>
                <w:rFonts w:hint="eastAsia" w:asciiTheme="minorEastAsia" w:hAnsiTheme="minorEastAsia" w:eastAsiaTheme="minorEastAsia"/>
                <w:sz w:val="24"/>
              </w:rPr>
              <w:t>邮政编码</w:t>
            </w:r>
            <w:bookmarkEnd w:id="452"/>
            <w:bookmarkEnd w:id="453"/>
            <w:bookmarkEnd w:id="454"/>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Merge w:val="restart"/>
            <w:vAlign w:val="center"/>
          </w:tcPr>
          <w:p>
            <w:pPr>
              <w:pStyle w:val="50"/>
              <w:spacing w:before="46" w:after="46"/>
              <w:ind w:firstLine="0" w:firstLineChars="0"/>
              <w:rPr>
                <w:rFonts w:asciiTheme="minorEastAsia" w:hAnsiTheme="minorEastAsia" w:eastAsiaTheme="minorEastAsia"/>
                <w:sz w:val="24"/>
              </w:rPr>
            </w:pPr>
            <w:bookmarkStart w:id="455" w:name="_Toc22322"/>
            <w:bookmarkStart w:id="456" w:name="_Toc16156"/>
            <w:bookmarkStart w:id="457" w:name="_Toc23256"/>
            <w:r>
              <w:rPr>
                <w:rFonts w:hint="eastAsia" w:asciiTheme="minorEastAsia" w:hAnsiTheme="minorEastAsia" w:eastAsiaTheme="minorEastAsia"/>
                <w:sz w:val="24"/>
              </w:rPr>
              <w:t>联系方式</w:t>
            </w:r>
            <w:bookmarkEnd w:id="455"/>
            <w:bookmarkEnd w:id="456"/>
            <w:bookmarkEnd w:id="457"/>
          </w:p>
        </w:tc>
        <w:tc>
          <w:tcPr>
            <w:tcW w:w="992" w:type="dxa"/>
            <w:gridSpan w:val="2"/>
            <w:vAlign w:val="center"/>
          </w:tcPr>
          <w:p>
            <w:pPr>
              <w:pStyle w:val="50"/>
              <w:spacing w:before="46" w:after="46"/>
              <w:ind w:firstLine="0" w:firstLineChars="0"/>
              <w:rPr>
                <w:rFonts w:asciiTheme="minorEastAsia" w:hAnsiTheme="minorEastAsia" w:eastAsiaTheme="minorEastAsia"/>
                <w:sz w:val="24"/>
              </w:rPr>
            </w:pPr>
            <w:bookmarkStart w:id="458" w:name="_Toc10744"/>
            <w:bookmarkStart w:id="459" w:name="_Toc12718"/>
            <w:bookmarkStart w:id="460" w:name="_Toc8519"/>
            <w:r>
              <w:rPr>
                <w:rFonts w:hint="eastAsia" w:asciiTheme="minorEastAsia" w:hAnsiTheme="minorEastAsia" w:eastAsiaTheme="minorEastAsia"/>
                <w:sz w:val="24"/>
              </w:rPr>
              <w:t>联系人</w:t>
            </w:r>
            <w:bookmarkEnd w:id="458"/>
            <w:bookmarkEnd w:id="459"/>
            <w:bookmarkEnd w:id="460"/>
          </w:p>
        </w:tc>
        <w:tc>
          <w:tcPr>
            <w:tcW w:w="2305" w:type="dxa"/>
            <w:gridSpan w:val="2"/>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bookmarkStart w:id="461" w:name="_Toc26983"/>
            <w:bookmarkStart w:id="462" w:name="_Toc17545"/>
            <w:bookmarkStart w:id="463" w:name="_Toc20596"/>
            <w:r>
              <w:rPr>
                <w:rFonts w:hint="eastAsia" w:asciiTheme="minorEastAsia" w:hAnsiTheme="minorEastAsia" w:eastAsiaTheme="minorEastAsia"/>
                <w:sz w:val="24"/>
              </w:rPr>
              <w:t>电话</w:t>
            </w:r>
            <w:bookmarkEnd w:id="461"/>
            <w:bookmarkEnd w:id="462"/>
            <w:bookmarkEnd w:id="463"/>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68" w:type="dxa"/>
            <w:vMerge w:val="continue"/>
            <w:vAlign w:val="center"/>
          </w:tcPr>
          <w:p>
            <w:pPr>
              <w:pStyle w:val="50"/>
              <w:spacing w:before="46" w:after="46"/>
              <w:ind w:firstLine="480"/>
              <w:rPr>
                <w:rFonts w:asciiTheme="minorEastAsia" w:hAnsiTheme="minorEastAsia" w:eastAsiaTheme="minorEastAsia"/>
                <w:sz w:val="24"/>
              </w:rPr>
            </w:pPr>
          </w:p>
        </w:tc>
        <w:tc>
          <w:tcPr>
            <w:tcW w:w="992" w:type="dxa"/>
            <w:gridSpan w:val="2"/>
            <w:vAlign w:val="center"/>
          </w:tcPr>
          <w:p>
            <w:pPr>
              <w:pStyle w:val="50"/>
              <w:spacing w:before="46" w:after="46"/>
              <w:ind w:firstLine="0" w:firstLineChars="0"/>
              <w:rPr>
                <w:rFonts w:asciiTheme="minorEastAsia" w:hAnsiTheme="minorEastAsia" w:eastAsiaTheme="minorEastAsia"/>
                <w:sz w:val="24"/>
              </w:rPr>
            </w:pPr>
            <w:bookmarkStart w:id="464" w:name="_Toc21063"/>
            <w:bookmarkStart w:id="465" w:name="_Toc22579"/>
            <w:bookmarkStart w:id="466" w:name="_Toc15090"/>
            <w:r>
              <w:rPr>
                <w:rFonts w:hint="eastAsia" w:asciiTheme="minorEastAsia" w:hAnsiTheme="minorEastAsia" w:eastAsiaTheme="minorEastAsia"/>
                <w:sz w:val="24"/>
              </w:rPr>
              <w:t>传真</w:t>
            </w:r>
            <w:bookmarkEnd w:id="464"/>
            <w:bookmarkEnd w:id="465"/>
            <w:bookmarkEnd w:id="466"/>
          </w:p>
        </w:tc>
        <w:tc>
          <w:tcPr>
            <w:tcW w:w="2305" w:type="dxa"/>
            <w:gridSpan w:val="2"/>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bookmarkStart w:id="467" w:name="_Toc30415"/>
            <w:bookmarkStart w:id="468" w:name="_Toc21688"/>
            <w:bookmarkStart w:id="469" w:name="_Toc21787"/>
            <w:r>
              <w:rPr>
                <w:rFonts w:hint="eastAsia" w:asciiTheme="minorEastAsia" w:hAnsiTheme="minorEastAsia" w:eastAsiaTheme="minorEastAsia"/>
                <w:sz w:val="24"/>
              </w:rPr>
              <w:t>网址</w:t>
            </w:r>
            <w:bookmarkEnd w:id="467"/>
            <w:bookmarkEnd w:id="468"/>
            <w:bookmarkEnd w:id="469"/>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70" w:name="_Toc11695"/>
            <w:bookmarkStart w:id="471" w:name="_Toc9229"/>
            <w:bookmarkStart w:id="472" w:name="_Toc29866"/>
            <w:r>
              <w:rPr>
                <w:rFonts w:hint="eastAsia" w:asciiTheme="minorEastAsia" w:hAnsiTheme="minorEastAsia" w:eastAsiaTheme="minorEastAsia"/>
                <w:sz w:val="24"/>
              </w:rPr>
              <w:t>组织结构</w:t>
            </w:r>
            <w:bookmarkEnd w:id="470"/>
            <w:bookmarkEnd w:id="471"/>
            <w:bookmarkEnd w:id="472"/>
          </w:p>
        </w:tc>
        <w:tc>
          <w:tcPr>
            <w:tcW w:w="6547" w:type="dxa"/>
            <w:gridSpan w:val="8"/>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73" w:name="_Toc5589"/>
            <w:bookmarkStart w:id="474" w:name="_Toc25873"/>
            <w:bookmarkStart w:id="475" w:name="_Toc6926"/>
            <w:r>
              <w:rPr>
                <w:rFonts w:hint="eastAsia" w:asciiTheme="minorEastAsia" w:hAnsiTheme="minorEastAsia" w:eastAsiaTheme="minorEastAsia"/>
                <w:sz w:val="24"/>
              </w:rPr>
              <w:t>法定代表人</w:t>
            </w:r>
            <w:bookmarkEnd w:id="473"/>
            <w:bookmarkEnd w:id="474"/>
            <w:bookmarkEnd w:id="475"/>
          </w:p>
        </w:tc>
        <w:tc>
          <w:tcPr>
            <w:tcW w:w="811" w:type="dxa"/>
            <w:vAlign w:val="center"/>
          </w:tcPr>
          <w:p>
            <w:pPr>
              <w:pStyle w:val="50"/>
              <w:spacing w:before="46" w:after="46"/>
              <w:ind w:firstLine="0" w:firstLineChars="0"/>
              <w:rPr>
                <w:rFonts w:asciiTheme="minorEastAsia" w:hAnsiTheme="minorEastAsia" w:eastAsiaTheme="minorEastAsia"/>
                <w:sz w:val="24"/>
              </w:rPr>
            </w:pPr>
            <w:bookmarkStart w:id="476" w:name="_Toc2178"/>
            <w:bookmarkStart w:id="477" w:name="_Toc13556"/>
            <w:bookmarkStart w:id="478" w:name="_Toc27418"/>
            <w:r>
              <w:rPr>
                <w:rFonts w:hint="eastAsia" w:asciiTheme="minorEastAsia" w:hAnsiTheme="minorEastAsia" w:eastAsiaTheme="minorEastAsia"/>
                <w:sz w:val="24"/>
              </w:rPr>
              <w:t>姓名</w:t>
            </w:r>
            <w:bookmarkEnd w:id="476"/>
            <w:bookmarkEnd w:id="477"/>
            <w:bookmarkEnd w:id="478"/>
          </w:p>
        </w:tc>
        <w:tc>
          <w:tcPr>
            <w:tcW w:w="1239" w:type="dxa"/>
            <w:gridSpan w:val="2"/>
            <w:vAlign w:val="center"/>
          </w:tcPr>
          <w:p>
            <w:pPr>
              <w:pStyle w:val="50"/>
              <w:spacing w:before="46" w:after="46"/>
              <w:ind w:firstLine="480"/>
              <w:rPr>
                <w:rFonts w:asciiTheme="minorEastAsia" w:hAnsiTheme="minorEastAsia" w:eastAsiaTheme="minorEastAsia"/>
                <w:sz w:val="24"/>
              </w:rPr>
            </w:pPr>
          </w:p>
        </w:tc>
        <w:tc>
          <w:tcPr>
            <w:tcW w:w="1247" w:type="dxa"/>
            <w:vAlign w:val="center"/>
          </w:tcPr>
          <w:p>
            <w:pPr>
              <w:pStyle w:val="50"/>
              <w:spacing w:before="46" w:after="46"/>
              <w:ind w:firstLine="0" w:firstLineChars="0"/>
              <w:rPr>
                <w:rFonts w:asciiTheme="minorEastAsia" w:hAnsiTheme="minorEastAsia" w:eastAsiaTheme="minorEastAsia"/>
                <w:sz w:val="24"/>
              </w:rPr>
            </w:pPr>
            <w:bookmarkStart w:id="479" w:name="_Toc31437"/>
            <w:bookmarkStart w:id="480" w:name="_Toc28563"/>
            <w:bookmarkStart w:id="481" w:name="_Toc31223"/>
            <w:r>
              <w:rPr>
                <w:rFonts w:hint="eastAsia" w:asciiTheme="minorEastAsia" w:hAnsiTheme="minorEastAsia" w:eastAsiaTheme="minorEastAsia"/>
                <w:sz w:val="24"/>
              </w:rPr>
              <w:t>技术职称</w:t>
            </w:r>
            <w:bookmarkEnd w:id="479"/>
            <w:bookmarkEnd w:id="480"/>
            <w:bookmarkEnd w:id="481"/>
          </w:p>
        </w:tc>
        <w:tc>
          <w:tcPr>
            <w:tcW w:w="1320" w:type="dxa"/>
            <w:vAlign w:val="center"/>
          </w:tcPr>
          <w:p>
            <w:pPr>
              <w:pStyle w:val="50"/>
              <w:spacing w:before="46" w:after="46"/>
              <w:ind w:firstLine="480"/>
              <w:rPr>
                <w:rFonts w:asciiTheme="minorEastAsia" w:hAnsiTheme="minorEastAsia" w:eastAsiaTheme="minorEastAsia"/>
                <w:sz w:val="24"/>
              </w:rPr>
            </w:pPr>
          </w:p>
        </w:tc>
        <w:tc>
          <w:tcPr>
            <w:tcW w:w="850" w:type="dxa"/>
            <w:gridSpan w:val="2"/>
            <w:vAlign w:val="center"/>
          </w:tcPr>
          <w:p>
            <w:pPr>
              <w:pStyle w:val="50"/>
              <w:spacing w:before="46" w:after="46"/>
              <w:ind w:firstLine="0" w:firstLineChars="0"/>
              <w:rPr>
                <w:rFonts w:asciiTheme="minorEastAsia" w:hAnsiTheme="minorEastAsia" w:eastAsiaTheme="minorEastAsia"/>
                <w:sz w:val="24"/>
              </w:rPr>
            </w:pPr>
            <w:bookmarkStart w:id="482" w:name="_Toc8676"/>
            <w:bookmarkStart w:id="483" w:name="_Toc13066"/>
            <w:bookmarkStart w:id="484" w:name="_Toc13902"/>
            <w:r>
              <w:rPr>
                <w:rFonts w:hint="eastAsia" w:asciiTheme="minorEastAsia" w:hAnsiTheme="minorEastAsia" w:eastAsiaTheme="minorEastAsia"/>
                <w:sz w:val="24"/>
              </w:rPr>
              <w:t>电话</w:t>
            </w:r>
            <w:bookmarkEnd w:id="482"/>
            <w:bookmarkEnd w:id="483"/>
            <w:bookmarkEnd w:id="484"/>
          </w:p>
        </w:tc>
        <w:tc>
          <w:tcPr>
            <w:tcW w:w="1080" w:type="dxa"/>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85" w:name="_Toc23526"/>
            <w:bookmarkStart w:id="486" w:name="_Toc154"/>
            <w:bookmarkStart w:id="487" w:name="_Toc21680"/>
            <w:r>
              <w:rPr>
                <w:rFonts w:hint="eastAsia" w:asciiTheme="minorEastAsia" w:hAnsiTheme="minorEastAsia" w:eastAsiaTheme="minorEastAsia"/>
                <w:sz w:val="24"/>
              </w:rPr>
              <w:t>技术负责人</w:t>
            </w:r>
            <w:bookmarkEnd w:id="485"/>
            <w:bookmarkEnd w:id="486"/>
            <w:bookmarkEnd w:id="487"/>
          </w:p>
        </w:tc>
        <w:tc>
          <w:tcPr>
            <w:tcW w:w="811" w:type="dxa"/>
            <w:vAlign w:val="center"/>
          </w:tcPr>
          <w:p>
            <w:pPr>
              <w:pStyle w:val="50"/>
              <w:spacing w:before="46" w:after="46"/>
              <w:ind w:firstLine="0" w:firstLineChars="0"/>
              <w:rPr>
                <w:rFonts w:asciiTheme="minorEastAsia" w:hAnsiTheme="minorEastAsia" w:eastAsiaTheme="minorEastAsia"/>
                <w:sz w:val="24"/>
              </w:rPr>
            </w:pPr>
            <w:bookmarkStart w:id="488" w:name="_Toc25727"/>
            <w:bookmarkStart w:id="489" w:name="_Toc14908"/>
            <w:bookmarkStart w:id="490" w:name="_Toc5320"/>
            <w:r>
              <w:rPr>
                <w:rFonts w:hint="eastAsia" w:asciiTheme="minorEastAsia" w:hAnsiTheme="minorEastAsia" w:eastAsiaTheme="minorEastAsia"/>
                <w:sz w:val="24"/>
              </w:rPr>
              <w:t>姓名</w:t>
            </w:r>
            <w:bookmarkEnd w:id="488"/>
            <w:bookmarkEnd w:id="489"/>
            <w:bookmarkEnd w:id="490"/>
          </w:p>
        </w:tc>
        <w:tc>
          <w:tcPr>
            <w:tcW w:w="1239" w:type="dxa"/>
            <w:gridSpan w:val="2"/>
            <w:vAlign w:val="center"/>
          </w:tcPr>
          <w:p>
            <w:pPr>
              <w:pStyle w:val="50"/>
              <w:spacing w:before="46" w:after="46"/>
              <w:ind w:firstLine="480"/>
              <w:rPr>
                <w:rFonts w:asciiTheme="minorEastAsia" w:hAnsiTheme="minorEastAsia" w:eastAsiaTheme="minorEastAsia"/>
                <w:sz w:val="24"/>
              </w:rPr>
            </w:pPr>
          </w:p>
        </w:tc>
        <w:tc>
          <w:tcPr>
            <w:tcW w:w="1247" w:type="dxa"/>
            <w:vAlign w:val="center"/>
          </w:tcPr>
          <w:p>
            <w:pPr>
              <w:pStyle w:val="50"/>
              <w:spacing w:before="46" w:after="46"/>
              <w:ind w:firstLine="0" w:firstLineChars="0"/>
              <w:rPr>
                <w:rFonts w:asciiTheme="minorEastAsia" w:hAnsiTheme="minorEastAsia" w:eastAsiaTheme="minorEastAsia"/>
                <w:sz w:val="24"/>
              </w:rPr>
            </w:pPr>
            <w:bookmarkStart w:id="491" w:name="_Toc6541"/>
            <w:bookmarkStart w:id="492" w:name="_Toc10193"/>
            <w:bookmarkStart w:id="493" w:name="_Toc635"/>
            <w:r>
              <w:rPr>
                <w:rFonts w:hint="eastAsia" w:asciiTheme="minorEastAsia" w:hAnsiTheme="minorEastAsia" w:eastAsiaTheme="minorEastAsia"/>
                <w:sz w:val="24"/>
              </w:rPr>
              <w:t>技术职称</w:t>
            </w:r>
            <w:bookmarkEnd w:id="491"/>
            <w:bookmarkEnd w:id="492"/>
            <w:bookmarkEnd w:id="493"/>
          </w:p>
        </w:tc>
        <w:tc>
          <w:tcPr>
            <w:tcW w:w="1320" w:type="dxa"/>
            <w:vAlign w:val="center"/>
          </w:tcPr>
          <w:p>
            <w:pPr>
              <w:pStyle w:val="50"/>
              <w:spacing w:before="46" w:after="46"/>
              <w:ind w:firstLine="480"/>
              <w:rPr>
                <w:rFonts w:asciiTheme="minorEastAsia" w:hAnsiTheme="minorEastAsia" w:eastAsiaTheme="minorEastAsia"/>
                <w:sz w:val="24"/>
              </w:rPr>
            </w:pPr>
          </w:p>
        </w:tc>
        <w:tc>
          <w:tcPr>
            <w:tcW w:w="850" w:type="dxa"/>
            <w:gridSpan w:val="2"/>
            <w:vAlign w:val="center"/>
          </w:tcPr>
          <w:p>
            <w:pPr>
              <w:pStyle w:val="50"/>
              <w:spacing w:before="46" w:after="46"/>
              <w:ind w:firstLine="0" w:firstLineChars="0"/>
              <w:rPr>
                <w:rFonts w:asciiTheme="minorEastAsia" w:hAnsiTheme="minorEastAsia" w:eastAsiaTheme="minorEastAsia"/>
                <w:sz w:val="24"/>
              </w:rPr>
            </w:pPr>
            <w:bookmarkStart w:id="494" w:name="_Toc30151"/>
            <w:bookmarkStart w:id="495" w:name="_Toc19282"/>
            <w:bookmarkStart w:id="496" w:name="_Toc28766"/>
            <w:r>
              <w:rPr>
                <w:rFonts w:hint="eastAsia" w:asciiTheme="minorEastAsia" w:hAnsiTheme="minorEastAsia" w:eastAsiaTheme="minorEastAsia"/>
                <w:sz w:val="24"/>
              </w:rPr>
              <w:t>电话</w:t>
            </w:r>
            <w:bookmarkEnd w:id="494"/>
            <w:bookmarkEnd w:id="495"/>
            <w:bookmarkEnd w:id="496"/>
          </w:p>
        </w:tc>
        <w:tc>
          <w:tcPr>
            <w:tcW w:w="1080" w:type="dxa"/>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97" w:name="_Toc30492"/>
            <w:bookmarkStart w:id="498" w:name="_Toc10500"/>
            <w:bookmarkStart w:id="499" w:name="_Toc32494"/>
            <w:r>
              <w:rPr>
                <w:rFonts w:hint="eastAsia" w:asciiTheme="minorEastAsia" w:hAnsiTheme="minorEastAsia" w:eastAsiaTheme="minorEastAsia"/>
                <w:sz w:val="24"/>
              </w:rPr>
              <w:t>成立时间</w:t>
            </w:r>
            <w:bookmarkEnd w:id="497"/>
            <w:bookmarkEnd w:id="498"/>
            <w:bookmarkEnd w:id="499"/>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4497" w:type="dxa"/>
            <w:gridSpan w:val="5"/>
            <w:vAlign w:val="center"/>
          </w:tcPr>
          <w:p>
            <w:pPr>
              <w:pStyle w:val="50"/>
              <w:spacing w:before="46" w:after="46"/>
              <w:ind w:firstLine="480"/>
              <w:rPr>
                <w:rFonts w:asciiTheme="minorEastAsia" w:hAnsiTheme="minorEastAsia" w:eastAsiaTheme="minorEastAsia"/>
                <w:sz w:val="24"/>
              </w:rPr>
            </w:pPr>
            <w:bookmarkStart w:id="500" w:name="_Toc22660"/>
            <w:bookmarkStart w:id="501" w:name="_Toc20606"/>
            <w:bookmarkStart w:id="502" w:name="_Toc32266"/>
            <w:r>
              <w:rPr>
                <w:rFonts w:hint="eastAsia" w:asciiTheme="minorEastAsia" w:hAnsiTheme="minorEastAsia" w:eastAsiaTheme="minorEastAsia"/>
                <w:sz w:val="24"/>
              </w:rPr>
              <w:t>员工总人数：</w:t>
            </w:r>
            <w:bookmarkEnd w:id="500"/>
            <w:bookmarkEnd w:id="501"/>
            <w:bookmarkEnd w:id="502"/>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03" w:name="_Toc19912"/>
            <w:bookmarkStart w:id="504" w:name="_Toc3274"/>
            <w:bookmarkStart w:id="505" w:name="_Toc21246"/>
            <w:r>
              <w:rPr>
                <w:rFonts w:hint="eastAsia" w:asciiTheme="minorEastAsia" w:hAnsiTheme="minorEastAsia" w:eastAsiaTheme="minorEastAsia"/>
                <w:sz w:val="24"/>
              </w:rPr>
              <w:t>企业资质等级</w:t>
            </w:r>
            <w:bookmarkEnd w:id="503"/>
            <w:bookmarkEnd w:id="504"/>
            <w:bookmarkEnd w:id="505"/>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restart"/>
            <w:vAlign w:val="center"/>
          </w:tcPr>
          <w:p>
            <w:pPr>
              <w:pStyle w:val="50"/>
              <w:spacing w:before="46" w:after="46"/>
              <w:ind w:firstLine="199" w:firstLineChars="83"/>
              <w:rPr>
                <w:rFonts w:asciiTheme="minorEastAsia" w:hAnsiTheme="minorEastAsia" w:eastAsiaTheme="minorEastAsia"/>
                <w:sz w:val="24"/>
              </w:rPr>
            </w:pPr>
            <w:bookmarkStart w:id="506" w:name="_Toc1143"/>
            <w:bookmarkStart w:id="507" w:name="_Toc8811"/>
            <w:bookmarkStart w:id="508" w:name="_Toc11878"/>
            <w:r>
              <w:rPr>
                <w:rFonts w:hint="eastAsia" w:asciiTheme="minorEastAsia" w:hAnsiTheme="minorEastAsia" w:eastAsiaTheme="minorEastAsia"/>
                <w:sz w:val="24"/>
              </w:rPr>
              <w:t>其中</w:t>
            </w:r>
            <w:bookmarkEnd w:id="506"/>
            <w:bookmarkEnd w:id="507"/>
            <w:bookmarkEnd w:id="508"/>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09" w:name="_Toc13351"/>
            <w:bookmarkStart w:id="510" w:name="_Toc6632"/>
            <w:bookmarkStart w:id="511" w:name="_Toc30931"/>
            <w:r>
              <w:rPr>
                <w:rFonts w:hint="eastAsia" w:asciiTheme="minorEastAsia" w:hAnsiTheme="minorEastAsia" w:eastAsiaTheme="minorEastAsia"/>
                <w:sz w:val="24"/>
              </w:rPr>
              <w:t>项目经理</w:t>
            </w:r>
            <w:bookmarkEnd w:id="509"/>
            <w:bookmarkEnd w:id="510"/>
            <w:bookmarkEnd w:id="511"/>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12" w:name="_Toc9299"/>
            <w:bookmarkStart w:id="513" w:name="_Toc641"/>
            <w:bookmarkStart w:id="514" w:name="_Toc337"/>
            <w:r>
              <w:rPr>
                <w:rFonts w:hint="eastAsia" w:asciiTheme="minorEastAsia" w:hAnsiTheme="minorEastAsia" w:eastAsiaTheme="minorEastAsia"/>
                <w:sz w:val="24"/>
              </w:rPr>
              <w:t>营业执照号</w:t>
            </w:r>
            <w:bookmarkEnd w:id="512"/>
            <w:bookmarkEnd w:id="513"/>
            <w:bookmarkEnd w:id="514"/>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15" w:name="_Toc9928"/>
            <w:bookmarkStart w:id="516" w:name="_Toc13050"/>
            <w:bookmarkStart w:id="517" w:name="_Toc30583"/>
            <w:r>
              <w:rPr>
                <w:rFonts w:hint="eastAsia" w:asciiTheme="minorEastAsia" w:hAnsiTheme="minorEastAsia" w:eastAsiaTheme="minorEastAsia"/>
                <w:sz w:val="24"/>
              </w:rPr>
              <w:t>高级职称人员</w:t>
            </w:r>
            <w:bookmarkEnd w:id="515"/>
            <w:bookmarkEnd w:id="516"/>
            <w:bookmarkEnd w:id="517"/>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18" w:name="_Toc29802"/>
            <w:bookmarkStart w:id="519" w:name="_Toc7286"/>
            <w:bookmarkStart w:id="520" w:name="_Toc20819"/>
            <w:r>
              <w:rPr>
                <w:rFonts w:hint="eastAsia" w:asciiTheme="minorEastAsia" w:hAnsiTheme="minorEastAsia" w:eastAsiaTheme="minorEastAsia"/>
                <w:sz w:val="24"/>
              </w:rPr>
              <w:t>注册资金</w:t>
            </w:r>
            <w:bookmarkEnd w:id="518"/>
            <w:bookmarkEnd w:id="519"/>
            <w:bookmarkEnd w:id="520"/>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21" w:name="_Toc25270"/>
            <w:bookmarkStart w:id="522" w:name="_Toc570"/>
            <w:bookmarkStart w:id="523" w:name="_Toc3400"/>
            <w:r>
              <w:rPr>
                <w:rFonts w:hint="eastAsia" w:asciiTheme="minorEastAsia" w:hAnsiTheme="minorEastAsia" w:eastAsiaTheme="minorEastAsia"/>
                <w:sz w:val="24"/>
              </w:rPr>
              <w:t>中级职称人员</w:t>
            </w:r>
            <w:bookmarkEnd w:id="521"/>
            <w:bookmarkEnd w:id="522"/>
            <w:bookmarkEnd w:id="523"/>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24" w:name="_Toc20399"/>
            <w:bookmarkStart w:id="525" w:name="_Toc29047"/>
            <w:bookmarkStart w:id="526" w:name="_Toc16764"/>
            <w:r>
              <w:rPr>
                <w:rFonts w:hint="eastAsia" w:asciiTheme="minorEastAsia" w:hAnsiTheme="minorEastAsia" w:eastAsiaTheme="minorEastAsia"/>
                <w:sz w:val="24"/>
              </w:rPr>
              <w:t>开户银行</w:t>
            </w:r>
            <w:bookmarkEnd w:id="524"/>
            <w:bookmarkEnd w:id="525"/>
            <w:bookmarkEnd w:id="526"/>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27" w:name="_Toc26840"/>
            <w:bookmarkStart w:id="528" w:name="_Toc27799"/>
            <w:bookmarkStart w:id="529" w:name="_Toc24212"/>
            <w:r>
              <w:rPr>
                <w:rFonts w:hint="eastAsia" w:asciiTheme="minorEastAsia" w:hAnsiTheme="minorEastAsia" w:eastAsiaTheme="minorEastAsia"/>
                <w:sz w:val="24"/>
              </w:rPr>
              <w:t>初级职称人员</w:t>
            </w:r>
            <w:bookmarkEnd w:id="527"/>
            <w:bookmarkEnd w:id="528"/>
            <w:bookmarkEnd w:id="529"/>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480"/>
              <w:rPr>
                <w:rFonts w:asciiTheme="minorEastAsia" w:hAnsiTheme="minorEastAsia" w:eastAsiaTheme="minorEastAsia"/>
                <w:sz w:val="24"/>
              </w:rPr>
            </w:pPr>
            <w:bookmarkStart w:id="530" w:name="_Toc9742"/>
            <w:bookmarkStart w:id="531" w:name="_Toc24927"/>
            <w:bookmarkStart w:id="532" w:name="_Toc17503"/>
            <w:r>
              <w:rPr>
                <w:rFonts w:hint="eastAsia" w:asciiTheme="minorEastAsia" w:hAnsiTheme="minorEastAsia" w:eastAsiaTheme="minorEastAsia"/>
                <w:sz w:val="24"/>
              </w:rPr>
              <w:t>账号</w:t>
            </w:r>
            <w:bookmarkEnd w:id="530"/>
            <w:bookmarkEnd w:id="531"/>
            <w:bookmarkEnd w:id="532"/>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480"/>
              <w:rPr>
                <w:rFonts w:asciiTheme="minorEastAsia" w:hAnsiTheme="minorEastAsia" w:eastAsiaTheme="minorEastAsia"/>
                <w:sz w:val="24"/>
              </w:rPr>
            </w:pPr>
            <w:bookmarkStart w:id="533" w:name="_Toc11805"/>
            <w:bookmarkStart w:id="534" w:name="_Toc20098"/>
            <w:bookmarkStart w:id="535" w:name="_Toc23865"/>
            <w:r>
              <w:rPr>
                <w:rFonts w:hint="eastAsia" w:asciiTheme="minorEastAsia" w:hAnsiTheme="minorEastAsia" w:eastAsiaTheme="minorEastAsia"/>
                <w:sz w:val="24"/>
              </w:rPr>
              <w:t>技工</w:t>
            </w:r>
            <w:bookmarkEnd w:id="533"/>
            <w:bookmarkEnd w:id="534"/>
            <w:bookmarkEnd w:id="535"/>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64"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36" w:name="_Toc4601"/>
            <w:bookmarkStart w:id="537" w:name="_Toc27349"/>
            <w:bookmarkStart w:id="538" w:name="_Toc28586"/>
            <w:r>
              <w:rPr>
                <w:rFonts w:hint="eastAsia" w:asciiTheme="minorEastAsia" w:hAnsiTheme="minorEastAsia" w:eastAsiaTheme="minorEastAsia"/>
                <w:sz w:val="24"/>
              </w:rPr>
              <w:t>经营范围</w:t>
            </w:r>
            <w:bookmarkEnd w:id="536"/>
            <w:bookmarkEnd w:id="537"/>
            <w:bookmarkEnd w:id="538"/>
          </w:p>
        </w:tc>
        <w:tc>
          <w:tcPr>
            <w:tcW w:w="6547" w:type="dxa"/>
            <w:gridSpan w:val="8"/>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668" w:type="dxa"/>
            <w:tcBorders>
              <w:bottom w:val="single" w:color="auto" w:sz="18" w:space="0"/>
            </w:tcBorders>
          </w:tcPr>
          <w:p>
            <w:pPr>
              <w:pStyle w:val="50"/>
              <w:spacing w:before="46" w:after="46"/>
              <w:ind w:firstLine="480"/>
              <w:rPr>
                <w:rFonts w:asciiTheme="minorEastAsia" w:hAnsiTheme="minorEastAsia" w:eastAsiaTheme="minorEastAsia"/>
                <w:sz w:val="24"/>
              </w:rPr>
            </w:pPr>
            <w:bookmarkStart w:id="539" w:name="_Toc30128"/>
            <w:bookmarkStart w:id="540" w:name="_Toc22550"/>
            <w:bookmarkStart w:id="541" w:name="_Toc11852"/>
            <w:r>
              <w:rPr>
                <w:rFonts w:hint="eastAsia" w:asciiTheme="minorEastAsia" w:hAnsiTheme="minorEastAsia" w:eastAsiaTheme="minorEastAsia"/>
                <w:sz w:val="24"/>
              </w:rPr>
              <w:t>备注</w:t>
            </w:r>
            <w:bookmarkEnd w:id="539"/>
            <w:bookmarkEnd w:id="540"/>
            <w:bookmarkEnd w:id="541"/>
          </w:p>
        </w:tc>
        <w:tc>
          <w:tcPr>
            <w:tcW w:w="6547" w:type="dxa"/>
            <w:gridSpan w:val="8"/>
            <w:tcBorders>
              <w:bottom w:val="single" w:color="auto" w:sz="18" w:space="0"/>
            </w:tcBorders>
          </w:tcPr>
          <w:p>
            <w:pPr>
              <w:pStyle w:val="50"/>
              <w:spacing w:before="46" w:after="46"/>
              <w:ind w:firstLine="480"/>
              <w:rPr>
                <w:rFonts w:asciiTheme="minorEastAsia" w:hAnsiTheme="minorEastAsia" w:eastAsiaTheme="minorEastAsia"/>
                <w:sz w:val="24"/>
              </w:rPr>
            </w:pPr>
          </w:p>
        </w:tc>
      </w:tr>
    </w:tbl>
    <w:p>
      <w:pPr>
        <w:pStyle w:val="50"/>
        <w:spacing w:before="46" w:after="46" w:line="400" w:lineRule="exact"/>
        <w:ind w:firstLine="480"/>
        <w:rPr>
          <w:rFonts w:asciiTheme="minorEastAsia" w:hAnsiTheme="minorEastAsia" w:eastAsiaTheme="minorEastAsia"/>
          <w:sz w:val="24"/>
        </w:rPr>
      </w:pPr>
      <w:bookmarkStart w:id="542" w:name="_Toc10681"/>
      <w:bookmarkStart w:id="543" w:name="_Toc16725"/>
      <w:bookmarkStart w:id="544" w:name="_Toc215"/>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542"/>
      <w:bookmarkEnd w:id="543"/>
      <w:bookmarkEnd w:id="544"/>
    </w:p>
    <w:p>
      <w:pPr>
        <w:pStyle w:val="50"/>
        <w:spacing w:before="46" w:after="46" w:line="400" w:lineRule="exact"/>
        <w:ind w:firstLine="480"/>
        <w:rPr>
          <w:rFonts w:asciiTheme="minorEastAsia" w:hAnsiTheme="minorEastAsia" w:eastAsiaTheme="minorEastAsia"/>
          <w:sz w:val="24"/>
        </w:rPr>
      </w:pPr>
      <w:bookmarkStart w:id="545" w:name="_Toc1513"/>
      <w:bookmarkStart w:id="546" w:name="_Toc4194"/>
      <w:bookmarkStart w:id="547" w:name="_Toc20456"/>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45"/>
      <w:bookmarkEnd w:id="546"/>
      <w:bookmarkEnd w:id="547"/>
    </w:p>
    <w:p>
      <w:pPr>
        <w:pStyle w:val="50"/>
        <w:spacing w:before="46" w:after="46" w:line="400" w:lineRule="exact"/>
        <w:ind w:firstLine="480"/>
        <w:rPr>
          <w:rFonts w:asciiTheme="minorEastAsia" w:hAnsiTheme="minorEastAsia" w:eastAsiaTheme="minorEastAsia"/>
          <w:sz w:val="24"/>
        </w:rPr>
      </w:pPr>
      <w:bookmarkStart w:id="548" w:name="_Toc26782"/>
      <w:bookmarkStart w:id="549" w:name="_Toc14321"/>
      <w:bookmarkStart w:id="550" w:name="_Toc5846"/>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48"/>
      <w:bookmarkEnd w:id="549"/>
      <w:bookmarkEnd w:id="550"/>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ind w:firstLine="643"/>
        <w:jc w:val="center"/>
        <w:rPr>
          <w:rFonts w:asciiTheme="minorEastAsia" w:hAnsiTheme="minorEastAsia" w:eastAsiaTheme="minorEastAsia"/>
          <w:b/>
          <w:sz w:val="24"/>
        </w:rPr>
      </w:pPr>
      <w:bookmarkStart w:id="551" w:name="_Toc29344"/>
      <w:bookmarkStart w:id="552" w:name="_Toc15741"/>
      <w:bookmarkStart w:id="553" w:name="_Toc21662"/>
      <w:bookmarkStart w:id="554" w:name="_Toc217446089"/>
      <w:r>
        <w:rPr>
          <w:rFonts w:hint="eastAsia" w:asciiTheme="minorEastAsia" w:hAnsiTheme="minorEastAsia" w:eastAsiaTheme="minorEastAsia"/>
          <w:b/>
          <w:sz w:val="32"/>
        </w:rPr>
        <w:t>八、投标人类似项目业绩一览表</w:t>
      </w:r>
      <w:bookmarkEnd w:id="551"/>
      <w:bookmarkEnd w:id="552"/>
      <w:bookmarkEnd w:id="553"/>
      <w:bookmarkEnd w:id="554"/>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项目名称：</w:t>
      </w:r>
    </w:p>
    <w:tbl>
      <w:tblPr>
        <w:tblStyle w:val="24"/>
        <w:tblW w:w="8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55" w:name="_Toc5822"/>
            <w:bookmarkStart w:id="556" w:name="_Toc23585"/>
            <w:bookmarkStart w:id="557" w:name="_Toc13928"/>
            <w:r>
              <w:rPr>
                <w:rFonts w:hint="eastAsia" w:asciiTheme="minorEastAsia" w:hAnsiTheme="minorEastAsia" w:eastAsiaTheme="minorEastAsia"/>
                <w:sz w:val="24"/>
              </w:rPr>
              <w:t>年份</w:t>
            </w:r>
            <w:bookmarkEnd w:id="555"/>
            <w:bookmarkEnd w:id="556"/>
            <w:bookmarkEnd w:id="557"/>
          </w:p>
        </w:tc>
        <w:tc>
          <w:tcPr>
            <w:tcW w:w="144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58" w:name="_Toc1127"/>
            <w:bookmarkStart w:id="559" w:name="_Toc18062"/>
            <w:bookmarkStart w:id="560" w:name="_Toc7444"/>
            <w:r>
              <w:rPr>
                <w:rFonts w:hint="eastAsia" w:asciiTheme="minorEastAsia" w:hAnsiTheme="minorEastAsia" w:eastAsiaTheme="minorEastAsia"/>
                <w:sz w:val="24"/>
              </w:rPr>
              <w:t>用户名称</w:t>
            </w:r>
            <w:bookmarkEnd w:id="558"/>
            <w:bookmarkEnd w:id="559"/>
            <w:bookmarkEnd w:id="560"/>
          </w:p>
        </w:tc>
        <w:tc>
          <w:tcPr>
            <w:tcW w:w="132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61" w:name="_Toc27642"/>
            <w:bookmarkStart w:id="562" w:name="_Toc30632"/>
            <w:bookmarkStart w:id="563" w:name="_Toc3255"/>
            <w:r>
              <w:rPr>
                <w:rFonts w:hint="eastAsia" w:asciiTheme="minorEastAsia" w:hAnsiTheme="minorEastAsia" w:eastAsiaTheme="minorEastAsia"/>
                <w:sz w:val="24"/>
              </w:rPr>
              <w:t>项目名称</w:t>
            </w:r>
            <w:bookmarkEnd w:id="561"/>
            <w:bookmarkEnd w:id="562"/>
            <w:bookmarkEnd w:id="563"/>
          </w:p>
        </w:tc>
        <w:tc>
          <w:tcPr>
            <w:tcW w:w="1161"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64" w:name="_Toc32136"/>
            <w:bookmarkStart w:id="565" w:name="_Toc2279"/>
            <w:bookmarkStart w:id="566" w:name="_Toc26055"/>
            <w:r>
              <w:rPr>
                <w:rFonts w:hint="eastAsia" w:asciiTheme="minorEastAsia" w:hAnsiTheme="minorEastAsia" w:eastAsiaTheme="minorEastAsia"/>
                <w:sz w:val="24"/>
              </w:rPr>
              <w:t>完成时间</w:t>
            </w:r>
            <w:bookmarkEnd w:id="564"/>
            <w:bookmarkEnd w:id="565"/>
            <w:bookmarkEnd w:id="566"/>
          </w:p>
        </w:tc>
        <w:tc>
          <w:tcPr>
            <w:tcW w:w="126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67" w:name="_Toc8762"/>
            <w:bookmarkStart w:id="568" w:name="_Toc18041"/>
            <w:bookmarkStart w:id="569" w:name="_Toc27103"/>
            <w:r>
              <w:rPr>
                <w:rFonts w:hint="eastAsia" w:asciiTheme="minorEastAsia" w:hAnsiTheme="minorEastAsia" w:eastAsiaTheme="minorEastAsia"/>
                <w:sz w:val="24"/>
              </w:rPr>
              <w:t>合同金额</w:t>
            </w:r>
            <w:bookmarkEnd w:id="567"/>
            <w:bookmarkEnd w:id="568"/>
            <w:bookmarkEnd w:id="569"/>
          </w:p>
        </w:tc>
        <w:tc>
          <w:tcPr>
            <w:tcW w:w="1374" w:type="dxa"/>
            <w:gridSpan w:val="3"/>
            <w:tcBorders>
              <w:top w:val="single" w:color="auto" w:sz="4" w:space="0"/>
              <w:right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0" w:name="_Toc20866"/>
            <w:bookmarkStart w:id="571" w:name="_Toc23814"/>
            <w:bookmarkStart w:id="572" w:name="_Toc23088"/>
            <w:r>
              <w:rPr>
                <w:rFonts w:hint="eastAsia" w:asciiTheme="minorEastAsia" w:hAnsiTheme="minorEastAsia" w:eastAsiaTheme="minorEastAsia"/>
                <w:sz w:val="24"/>
              </w:rPr>
              <w:t>是否通过验收</w:t>
            </w:r>
            <w:bookmarkEnd w:id="570"/>
            <w:bookmarkEnd w:id="571"/>
            <w:bookmarkEnd w:id="572"/>
          </w:p>
        </w:tc>
        <w:tc>
          <w:tcPr>
            <w:tcW w:w="782" w:type="dxa"/>
            <w:tcBorders>
              <w:top w:val="single" w:color="auto" w:sz="4" w:space="0"/>
              <w:left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3" w:name="_Toc12097"/>
            <w:bookmarkStart w:id="574" w:name="_Toc518"/>
            <w:bookmarkStart w:id="575" w:name="_Toc21538"/>
            <w:r>
              <w:rPr>
                <w:rFonts w:hint="eastAsia" w:asciiTheme="minorEastAsia" w:hAnsiTheme="minorEastAsia" w:eastAsiaTheme="minorEastAsia"/>
                <w:sz w:val="24"/>
              </w:rPr>
              <w:t>备注</w:t>
            </w:r>
            <w:bookmarkEnd w:id="573"/>
            <w:bookmarkEnd w:id="574"/>
            <w:bookmarkEnd w:id="57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440"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269" w:type="dxa"/>
            <w:gridSpan w:val="2"/>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65" w:type="dxa"/>
            <w:gridSpan w:val="2"/>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44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269" w:type="dxa"/>
            <w:gridSpan w:val="2"/>
            <w:tcBorders>
              <w:bottom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bottom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bottom w:val="single" w:color="auto" w:sz="4" w:space="0"/>
            </w:tcBorders>
            <w:vAlign w:val="center"/>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bookmarkStart w:id="576" w:name="_Toc905"/>
      <w:bookmarkStart w:id="577" w:name="_Toc5569"/>
      <w:bookmarkStart w:id="578" w:name="_Toc18476"/>
      <w:r>
        <w:rPr>
          <w:rFonts w:hint="eastAsia" w:asciiTheme="minorEastAsia" w:hAnsiTheme="minorEastAsia" w:eastAsiaTheme="minorEastAsia"/>
          <w:sz w:val="24"/>
        </w:rPr>
        <w:t>注：投标人（仅限于投标人自己实施的）以上业绩需提供有关书面证明材料。“合同金额”需提供合同复印件；“是否通过验收”需提供合同验收合格或用户单位书面证明材料。</w:t>
      </w:r>
      <w:bookmarkEnd w:id="576"/>
      <w:bookmarkEnd w:id="577"/>
      <w:bookmarkEnd w:id="578"/>
    </w:p>
    <w:p>
      <w:pPr>
        <w:pStyle w:val="50"/>
        <w:spacing w:before="46" w:after="46"/>
        <w:ind w:firstLine="480"/>
        <w:rPr>
          <w:rFonts w:asciiTheme="minorEastAsia" w:hAnsiTheme="minorEastAsia" w:eastAsiaTheme="minorEastAsia"/>
          <w:sz w:val="24"/>
        </w:rPr>
      </w:pPr>
      <w:bookmarkStart w:id="579" w:name="_Toc25553"/>
      <w:bookmarkStart w:id="580" w:name="_Toc23634"/>
      <w:bookmarkStart w:id="581" w:name="_Toc18470"/>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579"/>
      <w:bookmarkEnd w:id="580"/>
      <w:bookmarkEnd w:id="581"/>
    </w:p>
    <w:p>
      <w:pPr>
        <w:pStyle w:val="50"/>
        <w:spacing w:before="46" w:after="46"/>
        <w:ind w:firstLine="480"/>
        <w:rPr>
          <w:rFonts w:asciiTheme="minorEastAsia" w:hAnsiTheme="minorEastAsia" w:eastAsiaTheme="minorEastAsia"/>
          <w:sz w:val="24"/>
        </w:rPr>
      </w:pPr>
      <w:bookmarkStart w:id="582" w:name="_Toc25843"/>
      <w:bookmarkStart w:id="583" w:name="_Toc9605"/>
      <w:bookmarkStart w:id="584" w:name="_Toc1139"/>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82"/>
      <w:bookmarkEnd w:id="583"/>
      <w:bookmarkEnd w:id="584"/>
    </w:p>
    <w:p>
      <w:pPr>
        <w:pStyle w:val="50"/>
        <w:spacing w:before="46" w:after="46"/>
        <w:ind w:firstLine="480"/>
        <w:rPr>
          <w:rFonts w:asciiTheme="minorEastAsia" w:hAnsiTheme="minorEastAsia" w:eastAsiaTheme="minorEastAsia"/>
          <w:sz w:val="24"/>
        </w:rPr>
      </w:pPr>
      <w:bookmarkStart w:id="585" w:name="_Toc1420"/>
      <w:bookmarkStart w:id="586" w:name="_Toc19621"/>
      <w:bookmarkStart w:id="587" w:name="_Toc29518"/>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85"/>
      <w:bookmarkEnd w:id="586"/>
      <w:bookmarkEnd w:id="587"/>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24"/>
        </w:rPr>
      </w:pPr>
      <w:bookmarkStart w:id="588" w:name="_Toc217446090"/>
      <w:bookmarkStart w:id="589" w:name="_Toc24627"/>
      <w:bookmarkStart w:id="590" w:name="_Toc714"/>
      <w:bookmarkStart w:id="591" w:name="_Toc27625"/>
      <w:r>
        <w:rPr>
          <w:rFonts w:hint="eastAsia" w:asciiTheme="minorEastAsia" w:hAnsiTheme="minorEastAsia" w:eastAsiaTheme="minorEastAsia"/>
          <w:sz w:val="32"/>
        </w:rPr>
        <w:t>九、</w:t>
      </w:r>
      <w:bookmarkEnd w:id="588"/>
      <w:bookmarkEnd w:id="589"/>
      <w:bookmarkEnd w:id="590"/>
      <w:bookmarkEnd w:id="591"/>
      <w:r>
        <w:rPr>
          <w:rFonts w:hint="eastAsia" w:asciiTheme="minorEastAsia" w:hAnsiTheme="minorEastAsia" w:eastAsiaTheme="minorEastAsia"/>
          <w:b/>
          <w:sz w:val="32"/>
        </w:rPr>
        <w:t>投标产品技术参数表</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项目名称：                              </w:t>
      </w:r>
    </w:p>
    <w:tbl>
      <w:tblPr>
        <w:tblStyle w:val="24"/>
        <w:tblW w:w="7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81"/>
        <w:gridCol w:w="2050"/>
        <w:gridCol w:w="185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序号</w:t>
            </w:r>
          </w:p>
        </w:tc>
        <w:tc>
          <w:tcPr>
            <w:tcW w:w="881"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 xml:space="preserve">包号 </w:t>
            </w:r>
          </w:p>
        </w:tc>
        <w:tc>
          <w:tcPr>
            <w:tcW w:w="2050"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货物（设备）名称</w:t>
            </w:r>
          </w:p>
        </w:tc>
        <w:tc>
          <w:tcPr>
            <w:tcW w:w="1851"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招标文件要求</w:t>
            </w:r>
          </w:p>
        </w:tc>
        <w:tc>
          <w:tcPr>
            <w:tcW w:w="2340"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bl>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注：1. 供应商必须把招标项目的全部技术参数列入此表。</w:t>
      </w: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2．按照招标项目技术要求的顺序对应填写。</w:t>
      </w: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3．供应商必须据实填写，不得虚假填写，否则将取消其投标或中标资格。</w:t>
      </w:r>
    </w:p>
    <w:p>
      <w:pPr>
        <w:pStyle w:val="50"/>
        <w:spacing w:before="46" w:after="46"/>
        <w:ind w:firstLine="0" w:firstLineChars="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640"/>
        <w:rPr>
          <w:rFonts w:asciiTheme="minorEastAsia" w:hAnsiTheme="minorEastAsia" w:eastAsiaTheme="minorEastAsia"/>
          <w:sz w:val="24"/>
        </w:rPr>
      </w:pPr>
      <w:bookmarkStart w:id="592" w:name="_Toc8318"/>
      <w:bookmarkStart w:id="593" w:name="_Toc6424"/>
      <w:bookmarkStart w:id="594" w:name="_Toc217446091"/>
      <w:bookmarkStart w:id="595" w:name="_Toc18627"/>
      <w:r>
        <w:rPr>
          <w:rFonts w:hint="eastAsia" w:asciiTheme="minorEastAsia" w:hAnsiTheme="minorEastAsia" w:eastAsiaTheme="minorEastAsia"/>
          <w:sz w:val="32"/>
        </w:rPr>
        <w:t>十、投标人本项目管理、技术、服务人员情况表</w:t>
      </w:r>
      <w:bookmarkEnd w:id="592"/>
      <w:bookmarkEnd w:id="593"/>
      <w:bookmarkEnd w:id="594"/>
      <w:bookmarkEnd w:id="595"/>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596" w:name="_Toc10066"/>
      <w:bookmarkStart w:id="597" w:name="_Toc12834"/>
      <w:bookmarkStart w:id="598" w:name="_Toc25786"/>
      <w:r>
        <w:rPr>
          <w:rFonts w:asciiTheme="minorEastAsia" w:hAnsiTheme="minorEastAsia" w:eastAsiaTheme="minorEastAsia"/>
          <w:sz w:val="24"/>
        </w:rPr>
        <w:t xml:space="preserve">  </w:t>
      </w:r>
      <w:bookmarkEnd w:id="596"/>
      <w:bookmarkEnd w:id="597"/>
      <w:bookmarkEnd w:id="598"/>
      <w:r>
        <w:rPr>
          <w:rFonts w:hint="eastAsia" w:asciiTheme="minorEastAsia" w:hAnsiTheme="minorEastAsia" w:eastAsiaTheme="minorEastAsia"/>
          <w:sz w:val="24"/>
        </w:rPr>
        <w:t xml:space="preserve">招标编号：                                                                </w:t>
      </w:r>
    </w:p>
    <w:p>
      <w:pPr>
        <w:pStyle w:val="50"/>
        <w:spacing w:before="46" w:after="46"/>
        <w:ind w:firstLine="720" w:firstLineChars="300"/>
        <w:rPr>
          <w:rFonts w:asciiTheme="minorEastAsia" w:hAnsiTheme="minorEastAsia" w:eastAsiaTheme="minorEastAsia"/>
          <w:sz w:val="24"/>
        </w:rPr>
      </w:pPr>
      <w:r>
        <w:rPr>
          <w:rFonts w:hint="eastAsia" w:asciiTheme="minorEastAsia" w:hAnsiTheme="minorEastAsia" w:eastAsiaTheme="minorEastAsia"/>
          <w:sz w:val="24"/>
        </w:rPr>
        <w:t>项目名称：</w:t>
      </w:r>
    </w:p>
    <w:tbl>
      <w:tblPr>
        <w:tblStyle w:val="24"/>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pStyle w:val="50"/>
              <w:spacing w:before="46" w:after="46"/>
              <w:ind w:firstLine="0" w:firstLineChars="0"/>
              <w:rPr>
                <w:rFonts w:asciiTheme="minorEastAsia" w:hAnsiTheme="minorEastAsia" w:eastAsiaTheme="minorEastAsia"/>
                <w:sz w:val="24"/>
              </w:rPr>
            </w:pPr>
            <w:bookmarkStart w:id="599" w:name="_Toc14549"/>
            <w:bookmarkStart w:id="600" w:name="_Toc16895"/>
            <w:bookmarkStart w:id="601" w:name="_Toc8733"/>
            <w:r>
              <w:rPr>
                <w:rFonts w:hint="eastAsia" w:asciiTheme="minorEastAsia" w:hAnsiTheme="minorEastAsia" w:eastAsiaTheme="minorEastAsia"/>
                <w:sz w:val="24"/>
              </w:rPr>
              <w:t>类别</w:t>
            </w:r>
            <w:bookmarkEnd w:id="599"/>
            <w:bookmarkEnd w:id="600"/>
            <w:bookmarkEnd w:id="601"/>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02" w:name="_Toc23462"/>
            <w:bookmarkStart w:id="603" w:name="_Toc7727"/>
            <w:bookmarkStart w:id="604" w:name="_Toc9823"/>
            <w:r>
              <w:rPr>
                <w:rFonts w:hint="eastAsia" w:asciiTheme="minorEastAsia" w:hAnsiTheme="minorEastAsia" w:eastAsiaTheme="minorEastAsia"/>
                <w:sz w:val="24"/>
              </w:rPr>
              <w:t>职务</w:t>
            </w:r>
            <w:bookmarkEnd w:id="602"/>
            <w:bookmarkEnd w:id="603"/>
            <w:bookmarkEnd w:id="604"/>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05" w:name="_Toc10572"/>
            <w:bookmarkStart w:id="606" w:name="_Toc22327"/>
            <w:bookmarkStart w:id="607" w:name="_Toc5193"/>
            <w:r>
              <w:rPr>
                <w:rFonts w:hint="eastAsia" w:asciiTheme="minorEastAsia" w:hAnsiTheme="minorEastAsia" w:eastAsiaTheme="minorEastAsia"/>
                <w:sz w:val="24"/>
              </w:rPr>
              <w:t>姓名</w:t>
            </w:r>
            <w:bookmarkEnd w:id="605"/>
            <w:bookmarkEnd w:id="606"/>
            <w:bookmarkEnd w:id="607"/>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08" w:name="_Toc19471"/>
            <w:bookmarkStart w:id="609" w:name="_Toc12419"/>
            <w:bookmarkStart w:id="610" w:name="_Toc2735"/>
            <w:r>
              <w:rPr>
                <w:rFonts w:hint="eastAsia" w:asciiTheme="minorEastAsia" w:hAnsiTheme="minorEastAsia" w:eastAsiaTheme="minorEastAsia"/>
                <w:sz w:val="24"/>
              </w:rPr>
              <w:t>职称</w:t>
            </w:r>
            <w:bookmarkEnd w:id="608"/>
            <w:bookmarkEnd w:id="609"/>
            <w:bookmarkEnd w:id="610"/>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11" w:name="_Toc8903"/>
            <w:bookmarkStart w:id="612" w:name="_Toc4068"/>
            <w:bookmarkStart w:id="613" w:name="_Toc5756"/>
            <w:r>
              <w:rPr>
                <w:rFonts w:hint="eastAsia" w:asciiTheme="minorEastAsia" w:hAnsiTheme="minorEastAsia" w:eastAsiaTheme="minorEastAsia"/>
                <w:sz w:val="24"/>
              </w:rPr>
              <w:t>常住地</w:t>
            </w:r>
            <w:bookmarkEnd w:id="611"/>
            <w:bookmarkEnd w:id="612"/>
            <w:bookmarkEnd w:id="613"/>
          </w:p>
        </w:tc>
        <w:tc>
          <w:tcPr>
            <w:tcW w:w="3390" w:type="dxa"/>
            <w:gridSpan w:val="4"/>
            <w:vAlign w:val="center"/>
          </w:tcPr>
          <w:p>
            <w:pPr>
              <w:pStyle w:val="50"/>
              <w:spacing w:before="46" w:after="46"/>
              <w:ind w:firstLine="480"/>
              <w:rPr>
                <w:rFonts w:asciiTheme="minorEastAsia" w:hAnsiTheme="minorEastAsia" w:eastAsiaTheme="minorEastAsia"/>
                <w:sz w:val="24"/>
              </w:rPr>
            </w:pPr>
            <w:bookmarkStart w:id="614" w:name="_Toc19658"/>
            <w:bookmarkStart w:id="615" w:name="_Toc1696"/>
            <w:bookmarkStart w:id="616" w:name="_Toc22467"/>
            <w:r>
              <w:rPr>
                <w:rFonts w:hint="eastAsia" w:asciiTheme="minorEastAsia" w:hAnsiTheme="minorEastAsia" w:eastAsiaTheme="minorEastAsia"/>
                <w:sz w:val="24"/>
              </w:rPr>
              <w:t>资格证明（附复印件）</w:t>
            </w:r>
            <w:bookmarkEnd w:id="614"/>
            <w:bookmarkEnd w:id="615"/>
            <w:bookmarkEnd w:id="6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51" w:type="dxa"/>
            <w:vAlign w:val="center"/>
          </w:tcPr>
          <w:p>
            <w:pPr>
              <w:pStyle w:val="50"/>
              <w:spacing w:before="46" w:after="46"/>
              <w:ind w:firstLine="0" w:firstLineChars="0"/>
              <w:rPr>
                <w:rFonts w:asciiTheme="minorEastAsia" w:hAnsiTheme="minorEastAsia" w:eastAsiaTheme="minorEastAsia"/>
                <w:sz w:val="24"/>
              </w:rPr>
            </w:pPr>
            <w:bookmarkStart w:id="617" w:name="_Toc17066"/>
            <w:bookmarkStart w:id="618" w:name="_Toc8130"/>
            <w:bookmarkStart w:id="619" w:name="_Toc4308"/>
            <w:r>
              <w:rPr>
                <w:rFonts w:hint="eastAsia" w:asciiTheme="minorEastAsia" w:hAnsiTheme="minorEastAsia" w:eastAsiaTheme="minorEastAsia"/>
                <w:sz w:val="24"/>
              </w:rPr>
              <w:t>证书</w:t>
            </w:r>
            <w:bookmarkEnd w:id="617"/>
            <w:bookmarkEnd w:id="618"/>
            <w:bookmarkEnd w:id="619"/>
          </w:p>
          <w:p>
            <w:pPr>
              <w:pStyle w:val="50"/>
              <w:spacing w:before="46" w:after="46"/>
              <w:ind w:firstLine="0" w:firstLineChars="0"/>
              <w:rPr>
                <w:rFonts w:asciiTheme="minorEastAsia" w:hAnsiTheme="minorEastAsia" w:eastAsiaTheme="minorEastAsia"/>
                <w:sz w:val="24"/>
              </w:rPr>
            </w:pPr>
            <w:bookmarkStart w:id="620" w:name="_Toc18942"/>
            <w:bookmarkStart w:id="621" w:name="_Toc26765"/>
            <w:bookmarkStart w:id="622" w:name="_Toc11807"/>
            <w:r>
              <w:rPr>
                <w:rFonts w:hint="eastAsia" w:asciiTheme="minorEastAsia" w:hAnsiTheme="minorEastAsia" w:eastAsiaTheme="minorEastAsia"/>
                <w:sz w:val="24"/>
              </w:rPr>
              <w:t>名称</w:t>
            </w:r>
            <w:bookmarkEnd w:id="620"/>
            <w:bookmarkEnd w:id="621"/>
            <w:bookmarkEnd w:id="622"/>
          </w:p>
        </w:tc>
        <w:tc>
          <w:tcPr>
            <w:tcW w:w="960" w:type="dxa"/>
            <w:vAlign w:val="center"/>
          </w:tcPr>
          <w:p>
            <w:pPr>
              <w:pStyle w:val="50"/>
              <w:spacing w:before="46" w:after="46"/>
              <w:ind w:firstLine="0" w:firstLineChars="0"/>
              <w:rPr>
                <w:rFonts w:asciiTheme="minorEastAsia" w:hAnsiTheme="minorEastAsia" w:eastAsiaTheme="minorEastAsia"/>
                <w:sz w:val="24"/>
              </w:rPr>
            </w:pPr>
            <w:bookmarkStart w:id="623" w:name="_Toc27414"/>
            <w:bookmarkStart w:id="624" w:name="_Toc27915"/>
            <w:bookmarkStart w:id="625" w:name="_Toc32565"/>
            <w:r>
              <w:rPr>
                <w:rFonts w:hint="eastAsia" w:asciiTheme="minorEastAsia" w:hAnsiTheme="minorEastAsia" w:eastAsiaTheme="minorEastAsia"/>
                <w:sz w:val="24"/>
              </w:rPr>
              <w:t>级别</w:t>
            </w:r>
            <w:bookmarkEnd w:id="623"/>
            <w:bookmarkEnd w:id="624"/>
            <w:bookmarkEnd w:id="625"/>
          </w:p>
        </w:tc>
        <w:tc>
          <w:tcPr>
            <w:tcW w:w="847" w:type="dxa"/>
            <w:vAlign w:val="center"/>
          </w:tcPr>
          <w:p>
            <w:pPr>
              <w:pStyle w:val="50"/>
              <w:spacing w:before="46" w:after="46"/>
              <w:ind w:firstLine="0" w:firstLineChars="0"/>
              <w:rPr>
                <w:rFonts w:asciiTheme="minorEastAsia" w:hAnsiTheme="minorEastAsia" w:eastAsiaTheme="minorEastAsia"/>
                <w:sz w:val="24"/>
              </w:rPr>
            </w:pPr>
            <w:bookmarkStart w:id="626" w:name="_Toc19648"/>
            <w:bookmarkStart w:id="627" w:name="_Toc12448"/>
            <w:bookmarkStart w:id="628" w:name="_Toc18882"/>
            <w:r>
              <w:rPr>
                <w:rFonts w:hint="eastAsia" w:asciiTheme="minorEastAsia" w:hAnsiTheme="minorEastAsia" w:eastAsiaTheme="minorEastAsia"/>
                <w:sz w:val="24"/>
              </w:rPr>
              <w:t>证号</w:t>
            </w:r>
            <w:bookmarkEnd w:id="626"/>
            <w:bookmarkEnd w:id="627"/>
            <w:bookmarkEnd w:id="628"/>
          </w:p>
        </w:tc>
        <w:tc>
          <w:tcPr>
            <w:tcW w:w="732" w:type="dxa"/>
            <w:vAlign w:val="center"/>
          </w:tcPr>
          <w:p>
            <w:pPr>
              <w:pStyle w:val="50"/>
              <w:spacing w:before="46" w:after="46"/>
              <w:ind w:firstLine="0" w:firstLineChars="0"/>
              <w:rPr>
                <w:rFonts w:asciiTheme="minorEastAsia" w:hAnsiTheme="minorEastAsia" w:eastAsiaTheme="minorEastAsia"/>
                <w:sz w:val="24"/>
              </w:rPr>
            </w:pPr>
            <w:bookmarkStart w:id="629" w:name="_Toc23134"/>
            <w:bookmarkStart w:id="630" w:name="_Toc27039"/>
            <w:bookmarkStart w:id="631" w:name="_Toc18084"/>
            <w:r>
              <w:rPr>
                <w:rFonts w:hint="eastAsia" w:asciiTheme="minorEastAsia" w:hAnsiTheme="minorEastAsia" w:eastAsiaTheme="minorEastAsia"/>
                <w:sz w:val="24"/>
              </w:rPr>
              <w:t>专业</w:t>
            </w:r>
            <w:bookmarkEnd w:id="629"/>
            <w:bookmarkEnd w:id="630"/>
            <w:bookmarkEnd w:id="6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32" w:name="_Toc21858"/>
            <w:bookmarkStart w:id="633" w:name="_Toc3740"/>
            <w:bookmarkStart w:id="634" w:name="_Toc14479"/>
            <w:r>
              <w:rPr>
                <w:rFonts w:hint="eastAsia" w:asciiTheme="minorEastAsia" w:hAnsiTheme="minorEastAsia" w:eastAsiaTheme="minorEastAsia"/>
                <w:sz w:val="24"/>
              </w:rPr>
              <w:t>管理</w:t>
            </w:r>
            <w:bookmarkEnd w:id="632"/>
            <w:bookmarkEnd w:id="633"/>
            <w:bookmarkEnd w:id="634"/>
          </w:p>
          <w:p>
            <w:pPr>
              <w:pStyle w:val="50"/>
              <w:spacing w:before="46" w:after="46"/>
              <w:ind w:firstLine="0" w:firstLineChars="0"/>
              <w:rPr>
                <w:rFonts w:asciiTheme="minorEastAsia" w:hAnsiTheme="minorEastAsia" w:eastAsiaTheme="minorEastAsia"/>
                <w:sz w:val="24"/>
              </w:rPr>
            </w:pPr>
            <w:bookmarkStart w:id="635" w:name="_Toc1450"/>
            <w:bookmarkStart w:id="636" w:name="_Toc24106"/>
            <w:bookmarkStart w:id="637" w:name="_Toc28294"/>
            <w:r>
              <w:rPr>
                <w:rFonts w:hint="eastAsia" w:asciiTheme="minorEastAsia" w:hAnsiTheme="minorEastAsia" w:eastAsiaTheme="minorEastAsia"/>
                <w:sz w:val="24"/>
              </w:rPr>
              <w:t>人员</w:t>
            </w:r>
            <w:bookmarkEnd w:id="635"/>
            <w:bookmarkEnd w:id="636"/>
            <w:bookmarkEnd w:id="637"/>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38" w:name="_Toc10758"/>
            <w:bookmarkStart w:id="639" w:name="_Toc26784"/>
            <w:bookmarkStart w:id="640" w:name="_Toc6443"/>
            <w:r>
              <w:rPr>
                <w:rFonts w:hint="eastAsia" w:asciiTheme="minorEastAsia" w:hAnsiTheme="minorEastAsia" w:eastAsiaTheme="minorEastAsia"/>
                <w:sz w:val="24"/>
              </w:rPr>
              <w:t>技术</w:t>
            </w:r>
            <w:bookmarkEnd w:id="638"/>
            <w:bookmarkEnd w:id="639"/>
            <w:bookmarkEnd w:id="640"/>
          </w:p>
          <w:p>
            <w:pPr>
              <w:pStyle w:val="50"/>
              <w:spacing w:before="46" w:after="46"/>
              <w:ind w:firstLine="0" w:firstLineChars="0"/>
              <w:rPr>
                <w:rFonts w:asciiTheme="minorEastAsia" w:hAnsiTheme="minorEastAsia" w:eastAsiaTheme="minorEastAsia"/>
                <w:sz w:val="24"/>
              </w:rPr>
            </w:pPr>
            <w:bookmarkStart w:id="641" w:name="_Toc4556"/>
            <w:bookmarkStart w:id="642" w:name="_Toc32719"/>
            <w:bookmarkStart w:id="643" w:name="_Toc9365"/>
            <w:r>
              <w:rPr>
                <w:rFonts w:hint="eastAsia" w:asciiTheme="minorEastAsia" w:hAnsiTheme="minorEastAsia" w:eastAsiaTheme="minorEastAsia"/>
                <w:sz w:val="24"/>
              </w:rPr>
              <w:t>人员</w:t>
            </w:r>
            <w:bookmarkEnd w:id="641"/>
            <w:bookmarkEnd w:id="642"/>
            <w:bookmarkEnd w:id="643"/>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44" w:name="_Toc16031"/>
            <w:bookmarkStart w:id="645" w:name="_Toc28864"/>
            <w:bookmarkStart w:id="646" w:name="_Toc19833"/>
            <w:r>
              <w:rPr>
                <w:rFonts w:hint="eastAsia" w:asciiTheme="minorEastAsia" w:hAnsiTheme="minorEastAsia" w:eastAsiaTheme="minorEastAsia"/>
                <w:sz w:val="24"/>
              </w:rPr>
              <w:t>售后服务人员</w:t>
            </w:r>
            <w:bookmarkEnd w:id="644"/>
            <w:bookmarkEnd w:id="645"/>
            <w:bookmarkEnd w:id="646"/>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647" w:name="_Toc27090"/>
      <w:bookmarkStart w:id="648" w:name="_Toc11236"/>
      <w:bookmarkStart w:id="649" w:name="_Toc9125"/>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647"/>
      <w:bookmarkEnd w:id="648"/>
      <w:bookmarkEnd w:id="649"/>
    </w:p>
    <w:p>
      <w:pPr>
        <w:pStyle w:val="50"/>
        <w:spacing w:before="46" w:after="46"/>
        <w:ind w:firstLine="480"/>
        <w:rPr>
          <w:rFonts w:asciiTheme="minorEastAsia" w:hAnsiTheme="minorEastAsia" w:eastAsiaTheme="minorEastAsia"/>
          <w:sz w:val="24"/>
        </w:rPr>
      </w:pPr>
      <w:bookmarkStart w:id="650" w:name="_Toc9830"/>
      <w:bookmarkStart w:id="651" w:name="_Toc31809"/>
      <w:bookmarkStart w:id="652" w:name="_Toc10818"/>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650"/>
      <w:bookmarkEnd w:id="651"/>
      <w:bookmarkEnd w:id="652"/>
    </w:p>
    <w:p>
      <w:pPr>
        <w:pStyle w:val="50"/>
        <w:spacing w:before="46" w:after="46"/>
        <w:ind w:firstLine="480"/>
        <w:rPr>
          <w:rFonts w:asciiTheme="minorEastAsia" w:hAnsiTheme="minorEastAsia" w:eastAsiaTheme="minorEastAsia"/>
          <w:sz w:val="24"/>
        </w:rPr>
      </w:pPr>
      <w:bookmarkStart w:id="653" w:name="_Toc17083"/>
      <w:bookmarkStart w:id="654" w:name="_Toc19662"/>
      <w:bookmarkStart w:id="655" w:name="_Toc30657"/>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653"/>
      <w:bookmarkEnd w:id="654"/>
      <w:bookmarkEnd w:id="655"/>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32"/>
        </w:rPr>
      </w:pPr>
      <w:r>
        <w:rPr>
          <w:rFonts w:hint="eastAsia" w:asciiTheme="minorEastAsia" w:hAnsiTheme="minorEastAsia" w:eastAsiaTheme="minorEastAsia"/>
          <w:sz w:val="32"/>
        </w:rPr>
        <w:t>十一、中小企业声明函</w:t>
      </w:r>
    </w:p>
    <w:p>
      <w:pPr>
        <w:spacing w:line="400" w:lineRule="exact"/>
        <w:rPr>
          <w:rFonts w:asciiTheme="minorEastAsia" w:hAnsiTheme="minorEastAsia" w:eastAsiaTheme="minorEastAsia"/>
          <w:kern w:val="0"/>
          <w:sz w:val="24"/>
        </w:rPr>
      </w:pPr>
      <w:r>
        <w:rPr>
          <w:rFonts w:asciiTheme="minorEastAsia" w:hAnsiTheme="minorEastAsia" w:eastAsiaTheme="minorEastAsia"/>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w:t>
      </w:r>
      <w:r>
        <w:rPr>
          <w:rFonts w:hint="eastAsia" w:asciiTheme="minorEastAsia" w:hAnsiTheme="minorEastAsia" w:eastAsiaTheme="minorEastAsia"/>
          <w:kern w:val="0"/>
          <w:sz w:val="24"/>
        </w:rPr>
        <w:t>不提供本函最终价格不做价格折让</w:t>
      </w:r>
      <w:r>
        <w:rPr>
          <w:rFonts w:asciiTheme="minorEastAsia" w:hAnsiTheme="minorEastAsia" w:eastAsiaTheme="minorEastAsia"/>
          <w:kern w:val="0"/>
          <w:sz w:val="24"/>
        </w:rPr>
        <w:t xml:space="preserve">) </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65"/>
        <w:rPr>
          <w:rFonts w:asciiTheme="minorEastAsia" w:hAnsiTheme="minorEastAsia" w:eastAsiaTheme="minorEastAsia"/>
          <w:kern w:val="0"/>
          <w:sz w:val="24"/>
        </w:rPr>
      </w:pPr>
      <w:r>
        <w:rPr>
          <w:rFonts w:hint="eastAsia" w:asciiTheme="minorEastAsia" w:hAnsiTheme="minorEastAsia" w:eastAsiaTheme="minorEastAsia"/>
          <w:kern w:val="0"/>
          <w:sz w:val="24"/>
        </w:rPr>
        <w:t>本公司对上述声明的真实性负责。如有虚假，将依法承担相应责任。</w:t>
      </w:r>
    </w:p>
    <w:p>
      <w:pPr>
        <w:spacing w:line="400" w:lineRule="exact"/>
        <w:ind w:firstLine="465"/>
        <w:rPr>
          <w:rFonts w:asciiTheme="minorEastAsia" w:hAnsiTheme="minorEastAsia" w:eastAsiaTheme="minorEastAsia"/>
          <w:kern w:val="0"/>
          <w:sz w:val="24"/>
        </w:rPr>
      </w:pP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单位名称（盖章）：</w:t>
      </w: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投 标 日 期：</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备注：</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1、各投标人根据上述文件规定据实填写《中小企业声明函》，提供虚假《中小企业声明函》的，作提供虚假材料谋取中标予以处理。</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2、对符合规定的小型、微型企业报价给予10%的扣除，用扣除后的价格参与评审（如所有投标人均满足价格扣除条件，则不必再扣除）。</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pStyle w:val="50"/>
        <w:spacing w:before="46" w:after="46"/>
        <w:ind w:firstLine="640"/>
        <w:jc w:val="center"/>
        <w:rPr>
          <w:rFonts w:asciiTheme="minorEastAsia" w:hAnsiTheme="minorEastAsia" w:eastAsiaTheme="minorEastAsia"/>
          <w:sz w:val="32"/>
        </w:rPr>
      </w:pPr>
      <w:r>
        <w:rPr>
          <w:rFonts w:hint="eastAsia" w:asciiTheme="minorEastAsia" w:hAnsiTheme="minorEastAsia" w:eastAsiaTheme="minorEastAsia"/>
          <w:sz w:val="32"/>
        </w:rPr>
        <w:t>十二、残疾人福利性单位声明函</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本单位对上述声明的真实性负责。如有虚假，将依法承担相应责任。</w:t>
      </w:r>
    </w:p>
    <w:p>
      <w:pPr>
        <w:spacing w:line="400" w:lineRule="exact"/>
        <w:rPr>
          <w:rFonts w:asciiTheme="minorEastAsia" w:hAnsiTheme="minorEastAsia" w:eastAsiaTheme="minorEastAsia"/>
          <w:sz w:val="24"/>
        </w:rPr>
      </w:pP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单位名称（盖章）：</w:t>
      </w: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投 标 日 期：</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注：依据财库〔2017〕141号文件，一享受政府采购支持政策的残疾人福利性单位应当同时满足以下条件：</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（一）安置的残疾人占本单位在职职工人数的比例不低于25%（含25%），并且安置的残疾人人数不少于10人（含10人）；</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（二）依法与安置的每位残疾人签订了一年以上（含一年）的劳动合同或服务协议；</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（三）为安置的每位残疾人按月足额缴纳了基本养老保险、基本医疗保险、失业保险、工伤保险和生育保险等社会保险费；</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（四）通过银行等金融机构向安置的每位残疾人，按月支付了不低于单位所在区县适用的经省级人民政府批准的月最低工资标准的工资；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（五）提供本单位制造的货物、承担的工程或者服务（以下简称产品），或者提供其他残疾人福利性单位制造的货物（不包括使用非残疾人福利性单位注册商标的货物）。</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0"/>
        <w:spacing w:before="46" w:after="46"/>
        <w:ind w:firstLine="480"/>
        <w:jc w:val="center"/>
        <w:rPr>
          <w:rFonts w:asciiTheme="minorEastAsia" w:hAnsiTheme="minorEastAsia" w:eastAsiaTheme="minorEastAsia"/>
          <w:b/>
          <w:szCs w:val="28"/>
        </w:rPr>
      </w:pPr>
      <w:r>
        <w:rPr>
          <w:rFonts w:asciiTheme="minorEastAsia" w:hAnsiTheme="minorEastAsia" w:eastAsiaTheme="minorEastAsia"/>
          <w:sz w:val="24"/>
        </w:rPr>
        <w:br w:type="page"/>
      </w:r>
      <w:r>
        <w:rPr>
          <w:rFonts w:hint="eastAsia" w:asciiTheme="minorEastAsia" w:hAnsiTheme="minorEastAsia" w:eastAsiaTheme="minorEastAsia"/>
          <w:sz w:val="32"/>
        </w:rPr>
        <w:t>十三、参加本项目采购活动的供应商单位、法定代表人、主要负责人在前3年内不具有行贿犯罪记录的承诺函</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rPr>
        <w:t>（采购人）：</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我公司承诺：我公司</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（营业执照号：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），法定代表人：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，主要负责人：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，在参加本项目采购活动前三年不存在行贿犯罪记录，并承诺对承诺内容的真实性负责，如有虚假愿意承担相应后果（法定代表人和主要负责人可为同一人）。</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jc w:val="left"/>
        <w:outlineLvl w:val="1"/>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24"/>
        </w:rPr>
      </w:pPr>
      <w:r>
        <w:rPr>
          <w:rFonts w:hint="eastAsia" w:asciiTheme="minorEastAsia" w:hAnsiTheme="minorEastAsia" w:eastAsiaTheme="minorEastAsia"/>
          <w:sz w:val="32"/>
        </w:rPr>
        <w:t>十四、投标人（供应商）廉洁承诺书</w:t>
      </w: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本企业参与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项目（采购项目编号：   ）的投标（采购），现郑重承诺：</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一、不以任何方式向项目招标人员、中介人员、审批人员、监管人员、行业主管人员以及评标（评审）专家等行贿。</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二、不以任何方式托人打招呼、求关照，搞利益结盟、腐蚀党和国家机关工作人员。</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以上承诺如有违反，请严肃处理，欢迎监督举报！</w:t>
      </w: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3"/>
        <w:spacing w:line="360" w:lineRule="exact"/>
        <w:jc w:val="center"/>
        <w:rPr>
          <w:rFonts w:asciiTheme="minorEastAsia" w:hAnsiTheme="minorEastAsia" w:eastAsiaTheme="minorEastAsia"/>
          <w:sz w:val="36"/>
          <w:szCs w:val="36"/>
        </w:rPr>
      </w:pPr>
      <w:bookmarkStart w:id="656" w:name="_Toc31667"/>
      <w:bookmarkStart w:id="657" w:name="_Toc20938"/>
      <w:bookmarkStart w:id="658" w:name="_Toc2602459"/>
      <w:r>
        <w:rPr>
          <w:rFonts w:hint="eastAsia" w:asciiTheme="minorEastAsia" w:hAnsiTheme="minorEastAsia" w:eastAsiaTheme="minorEastAsia"/>
          <w:sz w:val="36"/>
          <w:szCs w:val="36"/>
        </w:rPr>
        <w:t>第四章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投标人和投标产品的资格、资质性</w:t>
      </w:r>
      <w:bookmarkEnd w:id="656"/>
      <w:bookmarkEnd w:id="657"/>
      <w:bookmarkStart w:id="659" w:name="_Toc15964"/>
      <w:bookmarkStart w:id="660" w:name="_Toc8594"/>
      <w:r>
        <w:rPr>
          <w:rFonts w:hint="eastAsia" w:asciiTheme="minorEastAsia" w:hAnsiTheme="minorEastAsia" w:eastAsiaTheme="minorEastAsia"/>
          <w:sz w:val="36"/>
          <w:szCs w:val="36"/>
        </w:rPr>
        <w:t>及其他类似效力要求</w:t>
      </w:r>
      <w:bookmarkEnd w:id="658"/>
      <w:bookmarkEnd w:id="659"/>
      <w:bookmarkEnd w:id="660"/>
    </w:p>
    <w:p>
      <w:pPr>
        <w:pStyle w:val="50"/>
        <w:spacing w:before="46" w:after="46" w:line="400" w:lineRule="exact"/>
        <w:ind w:firstLine="0" w:firstLineChars="0"/>
        <w:rPr>
          <w:rFonts w:asciiTheme="minorEastAsia" w:hAnsiTheme="minorEastAsia" w:eastAsiaTheme="minorEastAsia"/>
          <w:b/>
        </w:rPr>
      </w:pPr>
      <w:r>
        <w:rPr>
          <w:rFonts w:hint="eastAsia" w:asciiTheme="minorEastAsia" w:hAnsiTheme="minorEastAsia" w:eastAsiaTheme="minorEastAsia"/>
          <w:b/>
        </w:rPr>
        <w:t>一、投标人资格、资质性及其他类似效力要求</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（一）《中华人民共和国政府采购法》第二十二条规定的条件：</w:t>
      </w:r>
    </w:p>
    <w:p>
      <w:pPr>
        <w:pStyle w:val="57"/>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、具有独立承担民事责任的能力；</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、具有良好的商业信誉和健全的财务会计制度；</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、具有履行合同所必须的设备和专业技术能力；</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、具有依法缴纳税收和社会保障资金的良好记录；</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、参加本次采购活动前三年内，在经营活动中没有重大违法记录；</w:t>
      </w:r>
    </w:p>
    <w:p>
      <w:pPr>
        <w:pStyle w:val="57"/>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、法律、行政法规规定的其他条件；</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（二）根据采购项目提出的特殊条件：</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1、投标人须提供每包相应的符合《医疗器械监督管理条例》要求的《医疗器械经营企业许可证》及相关经营范围；</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Cs/>
          <w:sz w:val="24"/>
        </w:rPr>
        <w:t>投标人截止至采购公告发布之日前未被列入“信用中国”网站(www.creditchina.gov.cn)、“中国政府采购网”网站(www.ccgp.gov.cn)、“四川政府采购”网站(曝光台)(</w:t>
      </w:r>
      <w:r>
        <w:rPr>
          <w:rFonts w:asciiTheme="minorEastAsia" w:hAnsiTheme="minorEastAsia" w:eastAsiaTheme="minorEastAsia"/>
          <w:bCs/>
          <w:sz w:val="24"/>
        </w:rPr>
        <w:t xml:space="preserve"> www.ccgp-sichuan.gov.cn</w:t>
      </w:r>
      <w:r>
        <w:rPr>
          <w:rFonts w:hint="eastAsia" w:asciiTheme="minorEastAsia" w:hAnsiTheme="minorEastAsia" w:eastAsiaTheme="minorEastAsia"/>
          <w:bCs/>
          <w:sz w:val="24"/>
        </w:rPr>
        <w:t>) 中任一网站的失信被执行人名单或重大税收违法案件当事人名单或政府采购严重违法失信行为记录名单。</w:t>
      </w:r>
    </w:p>
    <w:p>
      <w:pPr>
        <w:pStyle w:val="57"/>
        <w:spacing w:line="36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sz w:val="24"/>
        </w:rPr>
        <w:t>3、</w:t>
      </w:r>
      <w:r>
        <w:rPr>
          <w:rFonts w:hint="eastAsia" w:asciiTheme="minorEastAsia" w:hAnsiTheme="minorEastAsia" w:eastAsiaTheme="minorEastAsia"/>
          <w:bCs/>
          <w:sz w:val="24"/>
        </w:rPr>
        <w:t>参加本项目政府采购活动的供应商单位、法定代表人、主要负责人在前三年内不得具有行贿犯罪记录。</w:t>
      </w:r>
    </w:p>
    <w:p>
      <w:pPr>
        <w:spacing w:line="360" w:lineRule="auto"/>
        <w:ind w:firstLine="540" w:firstLineChars="225"/>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4、授权参加本次采购活动的供应商代表证明材料。</w:t>
      </w:r>
    </w:p>
    <w:p>
      <w:pPr>
        <w:pStyle w:val="57"/>
        <w:spacing w:line="36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color w:val="000000"/>
          <w:sz w:val="24"/>
        </w:rPr>
        <w:t>5、按照规定获取了招标文件。</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6、本项目不接受联合体投标。</w:t>
      </w:r>
    </w:p>
    <w:p>
      <w:pPr>
        <w:pStyle w:val="57"/>
        <w:spacing w:line="400" w:lineRule="exact"/>
        <w:ind w:firstLine="0" w:firstLineChars="0"/>
        <w:rPr>
          <w:rFonts w:asciiTheme="minorEastAsia" w:hAnsiTheme="minorEastAsia" w:eastAsiaTheme="minorEastAsia"/>
          <w:b/>
          <w:sz w:val="28"/>
        </w:rPr>
      </w:pPr>
      <w:r>
        <w:rPr>
          <w:rFonts w:hint="eastAsia" w:asciiTheme="minorEastAsia" w:hAnsiTheme="minorEastAsia" w:eastAsiaTheme="minorEastAsia"/>
          <w:b/>
          <w:sz w:val="28"/>
        </w:rPr>
        <w:t>二、投标产品的资格、资质性及其他类似效力</w:t>
      </w:r>
      <w:r>
        <w:rPr>
          <w:rFonts w:asciiTheme="minorEastAsia" w:hAnsiTheme="minorEastAsia" w:eastAsiaTheme="minorEastAsia"/>
          <w:b/>
          <w:sz w:val="28"/>
        </w:rPr>
        <w:t xml:space="preserve"> </w:t>
      </w:r>
    </w:p>
    <w:p>
      <w:pPr>
        <w:spacing w:line="360" w:lineRule="auto"/>
        <w:ind w:firstLine="540" w:firstLineChars="225"/>
        <w:rPr>
          <w:rFonts w:asciiTheme="minorEastAsia" w:hAnsiTheme="minorEastAsia" w:eastAsiaTheme="minorEastAsia"/>
          <w:color w:val="000000"/>
          <w:sz w:val="24"/>
        </w:rPr>
      </w:pPr>
      <w:r>
        <w:rPr>
          <w:rFonts w:hint="eastAsia" w:asciiTheme="minorEastAsia" w:hAnsiTheme="minorEastAsia" w:eastAsiaTheme="minorEastAsia"/>
          <w:color w:val="000000"/>
          <w:sz w:val="24"/>
        </w:rPr>
        <w:t>无</w:t>
      </w:r>
    </w:p>
    <w:p>
      <w:pPr>
        <w:pStyle w:val="57"/>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注：</w:t>
      </w:r>
      <w:r>
        <w:rPr>
          <w:rFonts w:asciiTheme="minorEastAsia" w:hAnsiTheme="minorEastAsia" w:eastAsiaTheme="minorEastAsia"/>
          <w:sz w:val="24"/>
        </w:rPr>
        <w:t>1</w:t>
      </w:r>
      <w:r>
        <w:rPr>
          <w:rFonts w:hint="eastAsia" w:asciiTheme="minorEastAsia" w:hAnsiTheme="minorEastAsia" w:eastAsiaTheme="minorEastAsia"/>
          <w:sz w:val="24"/>
        </w:rPr>
        <w:t>、本项目确定供应商重大违法记录中较大数额罚款的金额标准是</w:t>
      </w:r>
      <w:r>
        <w:rPr>
          <w:rFonts w:asciiTheme="minorEastAsia" w:hAnsiTheme="minorEastAsia" w:eastAsiaTheme="minorEastAsia"/>
          <w:sz w:val="24"/>
        </w:rPr>
        <w:t>:</w:t>
      </w:r>
      <w:r>
        <w:rPr>
          <w:rFonts w:hint="eastAsia" w:asciiTheme="minorEastAsia" w:hAnsiTheme="minorEastAsia" w:eastAsiaTheme="minorEastAsia"/>
          <w:sz w:val="24"/>
        </w:rPr>
        <w:t>《四川省行政处罚听证程序规定》第四条“本规定所称较大数额</w:t>
      </w:r>
      <w:r>
        <w:rPr>
          <w:rFonts w:asciiTheme="minorEastAsia" w:hAnsiTheme="minorEastAsia" w:eastAsiaTheme="minorEastAsia"/>
          <w:sz w:val="24"/>
        </w:rPr>
        <w:t>,</w:t>
      </w:r>
      <w:r>
        <w:rPr>
          <w:rFonts w:hint="eastAsia" w:asciiTheme="minorEastAsia" w:hAnsiTheme="minorEastAsia" w:eastAsiaTheme="minorEastAsia"/>
          <w:sz w:val="24"/>
        </w:rPr>
        <w:t>是指对非经营活动中公民的违法行为处以罚款或者没收财产</w:t>
      </w:r>
      <w:r>
        <w:rPr>
          <w:rFonts w:asciiTheme="minorEastAsia" w:hAnsiTheme="minorEastAsia" w:eastAsiaTheme="minorEastAsia"/>
          <w:sz w:val="24"/>
        </w:rPr>
        <w:t>2000</w:t>
      </w:r>
      <w:r>
        <w:rPr>
          <w:rFonts w:hint="eastAsia" w:asciiTheme="minorEastAsia" w:hAnsiTheme="minorEastAsia" w:eastAsiaTheme="minorEastAsia"/>
          <w:sz w:val="24"/>
        </w:rPr>
        <w:t>元以上、法人或者其他组织的违</w:t>
      </w:r>
      <w:r>
        <w:rPr>
          <w:rFonts w:asciiTheme="minorEastAsia" w:hAnsiTheme="minorEastAsia" w:eastAsiaTheme="minorEastAsia"/>
          <w:sz w:val="24"/>
        </w:rPr>
        <w:t xml:space="preserve"> </w:t>
      </w:r>
      <w:r>
        <w:rPr>
          <w:rFonts w:hint="eastAsia" w:asciiTheme="minorEastAsia" w:hAnsiTheme="minorEastAsia" w:eastAsiaTheme="minorEastAsia"/>
          <w:sz w:val="24"/>
        </w:rPr>
        <w:t>法行为处以罚款或者没收财产</w:t>
      </w:r>
      <w:r>
        <w:rPr>
          <w:rFonts w:asciiTheme="minorEastAsia" w:hAnsiTheme="minorEastAsia" w:eastAsiaTheme="minorEastAsia"/>
          <w:sz w:val="24"/>
        </w:rPr>
        <w:t xml:space="preserve"> 2 </w:t>
      </w:r>
      <w:r>
        <w:rPr>
          <w:rFonts w:hint="eastAsia" w:asciiTheme="minorEastAsia" w:hAnsiTheme="minorEastAsia" w:eastAsiaTheme="minorEastAsia"/>
          <w:sz w:val="24"/>
        </w:rPr>
        <w:t>万元以上</w:t>
      </w:r>
      <w:r>
        <w:rPr>
          <w:rFonts w:asciiTheme="minorEastAsia" w:hAnsiTheme="minorEastAsia" w:eastAsiaTheme="minorEastAsia"/>
          <w:sz w:val="24"/>
        </w:rPr>
        <w:t>;</w:t>
      </w:r>
      <w:r>
        <w:rPr>
          <w:rFonts w:hint="eastAsia" w:asciiTheme="minorEastAsia" w:hAnsiTheme="minorEastAsia" w:eastAsiaTheme="minorEastAsia"/>
          <w:sz w:val="24"/>
        </w:rPr>
        <w:t>对在经营活动中的违法行为处以</w:t>
      </w:r>
      <w:r>
        <w:rPr>
          <w:rFonts w:asciiTheme="minorEastAsia" w:hAnsiTheme="minorEastAsia" w:eastAsiaTheme="minorEastAsia"/>
          <w:sz w:val="24"/>
        </w:rPr>
        <w:t xml:space="preserve"> </w:t>
      </w:r>
      <w:r>
        <w:rPr>
          <w:rFonts w:hint="eastAsia" w:asciiTheme="minorEastAsia" w:hAnsiTheme="minorEastAsia" w:eastAsiaTheme="minorEastAsia"/>
          <w:sz w:val="24"/>
        </w:rPr>
        <w:t>罚款或者没收财产</w:t>
      </w:r>
      <w:r>
        <w:rPr>
          <w:rFonts w:asciiTheme="minorEastAsia" w:hAnsiTheme="minorEastAsia" w:eastAsiaTheme="minorEastAsia"/>
          <w:sz w:val="24"/>
        </w:rPr>
        <w:t xml:space="preserve"> 5 </w:t>
      </w:r>
      <w:r>
        <w:rPr>
          <w:rFonts w:hint="eastAsia" w:asciiTheme="minorEastAsia" w:hAnsiTheme="minorEastAsia" w:eastAsiaTheme="minorEastAsia"/>
          <w:sz w:val="24"/>
        </w:rPr>
        <w:t>万元以上。国务院有关部门规定的较大数额标准低于前款规定的</w:t>
      </w:r>
      <w:r>
        <w:rPr>
          <w:rFonts w:asciiTheme="minorEastAsia" w:hAnsiTheme="minorEastAsia" w:eastAsiaTheme="minorEastAsia"/>
          <w:sz w:val="24"/>
        </w:rPr>
        <w:t>,</w:t>
      </w:r>
      <w:r>
        <w:rPr>
          <w:rFonts w:hint="eastAsia" w:asciiTheme="minorEastAsia" w:hAnsiTheme="minorEastAsia" w:eastAsiaTheme="minorEastAsia"/>
          <w:sz w:val="24"/>
        </w:rPr>
        <w:t>从其规定。”</w:t>
      </w:r>
      <w:r>
        <w:rPr>
          <w:rFonts w:asciiTheme="minorEastAsia" w:hAnsiTheme="minorEastAsia" w:eastAsiaTheme="minorEastAsia"/>
          <w:sz w:val="24"/>
        </w:rPr>
        <w:t xml:space="preserve"> </w:t>
      </w:r>
    </w:p>
    <w:p>
      <w:pPr>
        <w:pStyle w:val="57"/>
        <w:spacing w:line="400" w:lineRule="exact"/>
        <w:ind w:firstLine="0" w:firstLineChars="0"/>
        <w:rPr>
          <w:rFonts w:asciiTheme="minorEastAsia" w:hAnsiTheme="minorEastAsia" w:eastAsiaTheme="minorEastAsia"/>
          <w:b/>
          <w:sz w:val="22"/>
        </w:rPr>
      </w:pPr>
      <w:r>
        <w:rPr>
          <w:rFonts w:asciiTheme="minorEastAsia" w:hAnsiTheme="minorEastAsia" w:eastAsiaTheme="minorEastAsia"/>
          <w:sz w:val="24"/>
        </w:rPr>
        <w:t xml:space="preserve">    2</w:t>
      </w:r>
      <w:r>
        <w:rPr>
          <w:rFonts w:hint="eastAsia" w:asciiTheme="minorEastAsia" w:hAnsiTheme="minorEastAsia" w:eastAsiaTheme="minorEastAsia"/>
          <w:sz w:val="24"/>
        </w:rPr>
        <w:t>、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3"/>
        <w:jc w:val="center"/>
        <w:rPr>
          <w:rFonts w:asciiTheme="minorEastAsia" w:hAnsiTheme="minorEastAsia" w:eastAsiaTheme="minorEastAsia"/>
          <w:sz w:val="36"/>
          <w:szCs w:val="36"/>
        </w:rPr>
      </w:pPr>
      <w:bookmarkStart w:id="661" w:name="_Toc2602460"/>
      <w:r>
        <w:rPr>
          <w:rFonts w:hint="eastAsia" w:asciiTheme="minorEastAsia" w:hAnsiTheme="minorEastAsia" w:eastAsiaTheme="minorEastAsia"/>
          <w:sz w:val="36"/>
          <w:szCs w:val="36"/>
        </w:rPr>
        <w:t>第五章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投标人应当提供的资格、资质性及其他类似效力要求的相关证明材料</w:t>
      </w:r>
      <w:bookmarkEnd w:id="661"/>
    </w:p>
    <w:p>
      <w:pPr>
        <w:pStyle w:val="50"/>
        <w:spacing w:before="46" w:after="46" w:line="240" w:lineRule="auto"/>
        <w:ind w:firstLine="0" w:firstLineChars="0"/>
        <w:rPr>
          <w:rFonts w:asciiTheme="minorEastAsia" w:hAnsiTheme="minorEastAsia" w:eastAsiaTheme="minorEastAsia"/>
          <w:b/>
        </w:rPr>
      </w:pPr>
      <w:bookmarkStart w:id="662" w:name="_Toc23658"/>
      <w:r>
        <w:rPr>
          <w:rFonts w:hint="eastAsia" w:asciiTheme="minorEastAsia" w:hAnsiTheme="minorEastAsia" w:eastAsiaTheme="minorEastAsia"/>
          <w:b/>
        </w:rPr>
        <w:t>一、应当提供的投标人资格、资质性及其他类似效力要求的相关证明材料</w:t>
      </w:r>
      <w:bookmarkEnd w:id="662"/>
    </w:p>
    <w:p>
      <w:pPr>
        <w:pStyle w:val="57"/>
        <w:spacing w:line="400" w:lineRule="exact"/>
        <w:ind w:firstLine="480"/>
        <w:rPr>
          <w:rFonts w:asciiTheme="minorEastAsia" w:hAnsiTheme="minorEastAsia" w:eastAsiaTheme="minorEastAsia"/>
          <w:sz w:val="24"/>
        </w:rPr>
      </w:pPr>
      <w:bookmarkStart w:id="663" w:name="_Toc3628"/>
      <w:bookmarkStart w:id="664" w:name="_Toc20835"/>
      <w:bookmarkStart w:id="665" w:name="_Toc217446093"/>
      <w:r>
        <w:rPr>
          <w:rFonts w:hint="eastAsia" w:asciiTheme="minorEastAsia" w:hAnsiTheme="minorEastAsia" w:eastAsiaTheme="minorEastAsia"/>
          <w:sz w:val="24"/>
        </w:rPr>
        <w:t>（一）《中华人民共和国政府采购法》第二十二条第一款第（一）至（六）规定的条件：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1、（1）投标人为企业（包括合伙企业）的提供有效的企业法人营业执照或营业执照、组织机构代码证、税务登记证（复印件），或提供三证合一（</w:t>
      </w:r>
      <w:r>
        <w:rPr>
          <w:rFonts w:asciiTheme="minorEastAsia" w:hAnsiTheme="minorEastAsia" w:eastAsiaTheme="minorEastAsia"/>
          <w:sz w:val="24"/>
        </w:rPr>
        <w:t>由工商行政管理部门核发一个加载法人和其他组织统一社会信用代码</w:t>
      </w:r>
      <w:r>
        <w:rPr>
          <w:rFonts w:hint="eastAsia" w:asciiTheme="minorEastAsia" w:hAnsiTheme="minorEastAsia" w:eastAsiaTheme="minorEastAsia"/>
          <w:sz w:val="24"/>
        </w:rPr>
        <w:t>）的</w:t>
      </w:r>
      <w:r>
        <w:rPr>
          <w:rFonts w:asciiTheme="minorEastAsia" w:hAnsiTheme="minorEastAsia" w:eastAsiaTheme="minorEastAsia"/>
          <w:sz w:val="24"/>
        </w:rPr>
        <w:t>营业执照</w:t>
      </w:r>
      <w:r>
        <w:rPr>
          <w:rFonts w:hint="eastAsia" w:asciiTheme="minorEastAsia" w:hAnsiTheme="minorEastAsia" w:eastAsiaTheme="minorEastAsia"/>
          <w:sz w:val="24"/>
        </w:rPr>
        <w:t>。</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投标人为事业单位的提供事业单位法人证书（复印件），如投标人为非企业专业服务机构的，如律师事务所，提供执业许可证等证明文件、组织机构代码证、税务登记证（复印件），如为个体工商户的，提供个体工商户营业执照（复印件）、税务登记证，如为自然人的提供为中国公民的自然人身份证明（复印件）。鉴于现行法律法规等对银行业、保险业、石油石化业、电力业、通信通讯业等行业法人及其依法设立分支机构有特殊规定，应依法保障上述特殊行业法人依法设立并领取营业执照的分支机构参与采购活动的合法权益，其分支机构在参与采购活动过程中产生的民事责任，公司是法定承担人。因此，上述特殊行业法人依法设立并领取营业执照的分支机构参与本项目采购活动，视为具有独立承担民事责任的能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2、具有良好的商业信誉和健全的财务会计制度（格式见承诺函）；投标人2019年度的财务报表（复印件），新成立的公司应自行提供情况说明。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3、具有履行合同所必需的设备和专业技术能力（格式见承诺函）。</w:t>
      </w:r>
    </w:p>
    <w:p>
      <w:pPr>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4、提供2019年以来任意一月依法缴纳税收的凭据（复印件）；提供2019年以来任意一月依法缴纳社会保险的凭据（复印件）；</w:t>
      </w:r>
      <w:r>
        <w:rPr>
          <w:rFonts w:hint="eastAsia" w:asciiTheme="minorEastAsia" w:hAnsiTheme="minorEastAsia" w:eastAsiaTheme="minorEastAsia"/>
          <w:kern w:val="0"/>
          <w:sz w:val="24"/>
        </w:rPr>
        <w:t>投标人为事业单位的提供2019年以来任意一月的社保资金缴纳证明（复印件）。新成立企业暂无纳税及社保的，须作出书面说明。</w:t>
      </w:r>
      <w:r>
        <w:rPr>
          <w:rFonts w:hint="eastAsia" w:asciiTheme="minorEastAsia" w:hAnsiTheme="minorEastAsia" w:eastAsiaTheme="minorEastAsia"/>
          <w:sz w:val="24"/>
        </w:rPr>
        <w:t>提供材料</w:t>
      </w:r>
      <w:r>
        <w:rPr>
          <w:rFonts w:hint="eastAsia" w:asciiTheme="minorEastAsia" w:hAnsiTheme="minorEastAsia" w:eastAsiaTheme="minorEastAsia"/>
          <w:kern w:val="0"/>
          <w:sz w:val="24"/>
        </w:rPr>
        <w:t>存在困难的，供应商也可以做出承诺。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5、参加本次采购活动前三年内，在经营活动中没有重大违法记录；（格式见承诺函）。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6、没有违反相关法律、行政法规规定（格式见承诺函）：</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（二）根据采购项目提出的特殊条件</w:t>
      </w:r>
      <w:r>
        <w:rPr>
          <w:rFonts w:asciiTheme="minorEastAsia" w:hAnsiTheme="minorEastAsia" w:eastAsiaTheme="minorEastAsia"/>
          <w:sz w:val="24"/>
        </w:rPr>
        <w:t>：</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 xml:space="preserve">    （1）投标人须提供每包相应的符合《医疗器械监督管理条例》要求的《医疗器械经营企业许可证》及相关经营范围；</w:t>
      </w:r>
    </w:p>
    <w:p>
      <w:pPr>
        <w:pStyle w:val="50"/>
        <w:spacing w:before="46" w:after="46" w:line="360" w:lineRule="exact"/>
        <w:ind w:firstLine="480"/>
        <w:rPr>
          <w:rFonts w:asciiTheme="minorEastAsia" w:hAnsiTheme="minorEastAsia" w:eastAsiaTheme="minorEastAsia"/>
          <w:b/>
          <w:sz w:val="24"/>
        </w:rPr>
      </w:pPr>
      <w:r>
        <w:rPr>
          <w:rFonts w:hint="eastAsia" w:asciiTheme="minorEastAsia" w:hAnsiTheme="minorEastAsia" w:eastAsiaTheme="minorEastAsia"/>
          <w:sz w:val="24"/>
        </w:rPr>
        <w:t xml:space="preserve"> （1）根据《关于在政府采购活动中查询及使用信用记录有关问题的通知》（财库〔2016〕125 号）的要求，采购人将通过“信用中国”网站（www.creditchina.gov.cn）、“中国政府采购网”网站（www.ccgp.gov.cn）等渠道查询供应商在采购公告发布之日前的信用记录并保存信用记录结果网页截图，列入失信被执行人名单、重大税收违法案件当事人名单、政府采购严重违法失信行为记录名单中的供应商报名参加本项目的采购活动将被拒绝</w:t>
      </w:r>
      <w:r>
        <w:rPr>
          <w:rFonts w:hint="eastAsia" w:asciiTheme="minorEastAsia" w:hAnsiTheme="minorEastAsia" w:eastAsiaTheme="minorEastAsia"/>
          <w:b/>
          <w:sz w:val="24"/>
        </w:rPr>
        <w:t>（企业参与投标时无需对此条进行响应，如相关失信记录已失效，供应商需提供相关证明资料。若因供应商为事业单位、团体组织、自然人等原因，在“信用中国”网站等渠道未查询到信息的，视为未被列入失信记录。）。</w:t>
      </w:r>
    </w:p>
    <w:p>
      <w:pPr>
        <w:pStyle w:val="50"/>
        <w:spacing w:before="46" w:after="46"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（2）提供参加本项目采购活动的供应商单位、法定代表人、主要负责人在前3年内不具有行贿犯罪记录的承诺函（法定代表人和主要负责人可为同一人）（原件）。</w:t>
      </w:r>
    </w:p>
    <w:p>
      <w:pPr>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w:t>
      </w:r>
      <w:r>
        <w:rPr>
          <w:rFonts w:hint="eastAsia" w:asciiTheme="minorEastAsia" w:hAnsiTheme="minorEastAsia" w:eastAsiaTheme="minorEastAsia"/>
          <w:sz w:val="24"/>
        </w:rPr>
        <w:t>法定代表人授权书（原件）；法定代表人和授权代表有效的身份证（复印件）；</w:t>
      </w:r>
      <w:r>
        <w:rPr>
          <w:rFonts w:hint="eastAsia" w:asciiTheme="minorEastAsia" w:hAnsiTheme="minorEastAsia" w:eastAsiaTheme="minorEastAsia"/>
          <w:kern w:val="0"/>
          <w:sz w:val="24"/>
        </w:rPr>
        <w:t>若法定代表人亲自投标只需提供法定代表人身份证明及身份证复印件。</w:t>
      </w:r>
    </w:p>
    <w:p>
      <w:pPr>
        <w:pStyle w:val="50"/>
        <w:spacing w:before="46" w:after="46"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（4）按照本项目招标文件的规定购买了招标文件（供应商不需要对本条提供证明材料，由采购代理机构提供供应商购买招标文件情况的材料）。</w:t>
      </w:r>
    </w:p>
    <w:p>
      <w:pPr>
        <w:spacing w:line="400" w:lineRule="exact"/>
        <w:ind w:left="961" w:leftChars="286" w:hanging="360" w:hangingChars="150"/>
        <w:rPr>
          <w:rFonts w:asciiTheme="minorEastAsia" w:hAnsiTheme="minorEastAsia" w:eastAsiaTheme="minorEastAsia"/>
          <w:sz w:val="24"/>
        </w:rPr>
      </w:pPr>
      <w:r>
        <w:rPr>
          <w:rFonts w:hint="eastAsia" w:asciiTheme="minorEastAsia" w:hAnsiTheme="minorEastAsia" w:eastAsiaTheme="minorEastAsia"/>
          <w:sz w:val="24"/>
          <w:shd w:val="clear" w:color="auto" w:fill="FFFFFF"/>
        </w:rPr>
        <w:t>（5）</w:t>
      </w:r>
      <w:r>
        <w:rPr>
          <w:rFonts w:hint="eastAsia" w:asciiTheme="minorEastAsia" w:hAnsiTheme="minorEastAsia" w:eastAsiaTheme="minorEastAsia"/>
          <w:sz w:val="24"/>
        </w:rPr>
        <w:t>本项目不接受联合体投标。</w:t>
      </w:r>
    </w:p>
    <w:p>
      <w:pPr>
        <w:pStyle w:val="57"/>
        <w:spacing w:line="400" w:lineRule="exact"/>
        <w:ind w:firstLine="0" w:firstLineChars="0"/>
        <w:rPr>
          <w:rFonts w:asciiTheme="minorEastAsia" w:hAnsiTheme="minorEastAsia" w:eastAsiaTheme="minorEastAsia"/>
          <w:b/>
          <w:sz w:val="28"/>
        </w:rPr>
      </w:pPr>
      <w:r>
        <w:rPr>
          <w:rFonts w:hint="eastAsia" w:asciiTheme="minorEastAsia" w:hAnsiTheme="minorEastAsia" w:eastAsiaTheme="minorEastAsia"/>
          <w:b/>
          <w:sz w:val="28"/>
        </w:rPr>
        <w:t>二、投标产品的资格、资质性及其他类似效力</w:t>
      </w:r>
      <w:r>
        <w:rPr>
          <w:rFonts w:asciiTheme="minorEastAsia" w:hAnsiTheme="minorEastAsia" w:eastAsiaTheme="minorEastAsia"/>
          <w:b/>
          <w:sz w:val="28"/>
        </w:rPr>
        <w:t xml:space="preserve"> </w:t>
      </w:r>
    </w:p>
    <w:p>
      <w:pPr>
        <w:pStyle w:val="57"/>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无</w:t>
      </w:r>
    </w:p>
    <w:p>
      <w:pPr>
        <w:rPr>
          <w:rFonts w:asciiTheme="minorEastAsia" w:hAnsiTheme="minorEastAsia" w:eastAsiaTheme="minorEastAsia"/>
          <w:b/>
          <w:bCs/>
          <w:kern w:val="0"/>
          <w:sz w:val="36"/>
          <w:szCs w:val="36"/>
        </w:rPr>
      </w:pPr>
    </w:p>
    <w:p>
      <w:pPr>
        <w:rPr>
          <w:rFonts w:asciiTheme="minorEastAsia" w:hAnsiTheme="minorEastAsia" w:eastAsiaTheme="minorEastAsia"/>
        </w:rPr>
        <w:sectPr>
          <w:pgSz w:w="11906" w:h="16838"/>
          <w:pgMar w:top="1440" w:right="1800" w:bottom="1440" w:left="1800" w:header="851" w:footer="992" w:gutter="0"/>
          <w:cols w:space="720" w:num="1"/>
          <w:docGrid w:type="lines" w:linePitch="312" w:charSpace="0"/>
        </w:sectPr>
      </w:pPr>
    </w:p>
    <w:p>
      <w:pPr>
        <w:pStyle w:val="3"/>
        <w:spacing w:line="400" w:lineRule="exact"/>
        <w:jc w:val="center"/>
        <w:rPr>
          <w:rFonts w:asciiTheme="minorEastAsia" w:hAnsiTheme="minorEastAsia" w:eastAsiaTheme="minorEastAsia"/>
          <w:sz w:val="36"/>
          <w:szCs w:val="36"/>
        </w:rPr>
      </w:pPr>
      <w:bookmarkStart w:id="666" w:name="_Toc2602461"/>
      <w:r>
        <w:rPr>
          <w:rFonts w:hint="eastAsia" w:asciiTheme="minorEastAsia" w:hAnsiTheme="minorEastAsia" w:eastAsiaTheme="minorEastAsia"/>
          <w:sz w:val="36"/>
          <w:szCs w:val="36"/>
        </w:rPr>
        <w:t>第六章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招标项目技术、服务、采购合同内容条款及其他商务要求</w:t>
      </w:r>
      <w:bookmarkEnd w:id="663"/>
      <w:bookmarkEnd w:id="664"/>
      <w:bookmarkEnd w:id="665"/>
      <w:bookmarkEnd w:id="666"/>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bookmarkStart w:id="667" w:name="_Toc16886"/>
      <w:bookmarkStart w:id="668" w:name="_Toc19117"/>
      <w:bookmarkStart w:id="669" w:name="_Toc5527"/>
      <w:r>
        <w:rPr>
          <w:rFonts w:hint="eastAsia" w:cs="仿宋_GB2312" w:asciiTheme="minorEastAsia" w:hAnsiTheme="minorEastAsia" w:eastAsiaTheme="minorEastAsia"/>
          <w:b/>
          <w:bCs/>
          <w:kern w:val="0"/>
          <w:sz w:val="32"/>
          <w:szCs w:val="32"/>
        </w:rPr>
        <w:t>一、项目概述</w:t>
      </w:r>
    </w:p>
    <w:p>
      <w:pPr>
        <w:widowControl/>
        <w:adjustRightInd w:val="0"/>
        <w:snapToGrid w:val="0"/>
        <w:spacing w:line="560" w:lineRule="exact"/>
        <w:ind w:right="680"/>
        <w:jc w:val="left"/>
        <w:rPr>
          <w:rFonts w:cs="仿宋_GB2312" w:asciiTheme="minorEastAsia" w:hAnsiTheme="minorEastAsia" w:eastAsiaTheme="minorEastAsia"/>
          <w:bCs/>
          <w:kern w:val="0"/>
          <w:sz w:val="32"/>
          <w:szCs w:val="32"/>
        </w:rPr>
      </w:pPr>
      <w:r>
        <w:rPr>
          <w:rFonts w:hint="eastAsia" w:cs="仿宋_GB2312" w:asciiTheme="minorEastAsia" w:hAnsiTheme="minorEastAsia" w:eastAsiaTheme="minorEastAsia"/>
          <w:bCs/>
          <w:kern w:val="0"/>
          <w:sz w:val="28"/>
          <w:szCs w:val="32"/>
        </w:rPr>
        <w:t>广汉市人民医院第二批耗材采购</w:t>
      </w:r>
    </w:p>
    <w:p>
      <w:pPr>
        <w:pStyle w:val="3"/>
        <w:spacing w:line="400" w:lineRule="exact"/>
        <w:rPr>
          <w:rFonts w:asciiTheme="minorEastAsia" w:hAnsiTheme="minorEastAsia" w:eastAsiaTheme="minorEastAsia"/>
          <w:sz w:val="24"/>
        </w:rPr>
      </w:pPr>
      <w:r>
        <w:rPr>
          <w:rFonts w:hint="eastAsia" w:asciiTheme="minorEastAsia" w:hAnsiTheme="minorEastAsia" w:eastAsiaTheme="minorEastAsia"/>
          <w:b w:val="0"/>
          <w:bCs w:val="0"/>
          <w:szCs w:val="24"/>
        </w:rPr>
        <w:t>二、</w:t>
      </w:r>
      <w:r>
        <w:rPr>
          <w:rFonts w:hint="eastAsia" w:asciiTheme="minorEastAsia" w:hAnsiTheme="minorEastAsia" w:eastAsiaTheme="minorEastAsia"/>
          <w:szCs w:val="24"/>
        </w:rPr>
        <w:t>项目要求</w:t>
      </w:r>
    </w:p>
    <w:p>
      <w:r>
        <w:rPr>
          <w:rFonts w:hint="eastAsia"/>
          <w:sz w:val="28"/>
        </w:rPr>
        <w:t>第十三包：</w:t>
      </w:r>
    </w:p>
    <w:tbl>
      <w:tblPr>
        <w:tblStyle w:val="24"/>
        <w:tblW w:w="5137" w:type="pct"/>
        <w:tblInd w:w="0" w:type="dxa"/>
        <w:tblLayout w:type="fixed"/>
        <w:tblCellMar>
          <w:top w:w="0" w:type="dxa"/>
          <w:left w:w="108" w:type="dxa"/>
          <w:bottom w:w="0" w:type="dxa"/>
          <w:right w:w="108" w:type="dxa"/>
        </w:tblCellMar>
      </w:tblPr>
      <w:tblGrid>
        <w:gridCol w:w="532"/>
        <w:gridCol w:w="1277"/>
        <w:gridCol w:w="1560"/>
        <w:gridCol w:w="4394"/>
        <w:gridCol w:w="993"/>
      </w:tblGrid>
      <w:tr>
        <w:tblPrEx>
          <w:tblCellMar>
            <w:top w:w="0" w:type="dxa"/>
            <w:left w:w="108" w:type="dxa"/>
            <w:bottom w:w="0" w:type="dxa"/>
            <w:right w:w="108" w:type="dxa"/>
          </w:tblCellMar>
        </w:tblPrEx>
        <w:trPr>
          <w:trHeight w:val="285"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技术参数</w:t>
            </w:r>
          </w:p>
        </w:tc>
        <w:tc>
          <w:tcPr>
            <w:tcW w:w="5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甘舒霖笔</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300单位3ml</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252</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高速气涡轮手机</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1450</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过氧化氢消毒液（双氧水）</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100ml</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0.85</w:t>
            </w:r>
          </w:p>
        </w:tc>
      </w:tr>
      <w:tr>
        <w:tblPrEx>
          <w:tblCellMar>
            <w:top w:w="0" w:type="dxa"/>
            <w:left w:w="108" w:type="dxa"/>
            <w:bottom w:w="0" w:type="dxa"/>
            <w:right w:w="108" w:type="dxa"/>
          </w:tblCellMar>
        </w:tblPrEx>
        <w:trPr>
          <w:trHeight w:val="90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机用根管锉</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Pro Pazh  QOP 21mm</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2000</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聚乳酸防粘连凝胶</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2ml</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337</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可吸收止血结扎夹</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k12 1枚/包 10包/盒</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独立包装，夹持密封压力可承受270mmHg,人体正常血压值一般不高于140mmHg.</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230</w:t>
            </w:r>
          </w:p>
        </w:tc>
      </w:tr>
      <w:tr>
        <w:tblPrEx>
          <w:tblCellMar>
            <w:top w:w="0" w:type="dxa"/>
            <w:left w:w="108" w:type="dxa"/>
            <w:bottom w:w="0" w:type="dxa"/>
            <w:right w:w="108" w:type="dxa"/>
          </w:tblCellMar>
        </w:tblPrEx>
        <w:trPr>
          <w:trHeight w:val="1286"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雾化含漱冲洗抗菌液（功能性敷料）</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10ml</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92</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雾化吸入管（儿科）</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7W-3   100包/件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雾化吸入器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7W-1 7W-2  1包/个 100包/件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液体石蜡（轻质液状石蜡）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500ml</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13.8</w:t>
            </w:r>
          </w:p>
        </w:tc>
      </w:tr>
      <w:tr>
        <w:tblPrEx>
          <w:tblCellMar>
            <w:top w:w="0" w:type="dxa"/>
            <w:left w:w="108" w:type="dxa"/>
            <w:bottom w:w="0" w:type="dxa"/>
            <w:right w:w="108" w:type="dxa"/>
          </w:tblCellMar>
        </w:tblPrEx>
        <w:trPr>
          <w:trHeight w:val="90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一次性使用避光输液器（精密过滤）</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JG-BV15 0.7*25 TW-LB 20套/盒 16盒/件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9.8</w:t>
            </w:r>
          </w:p>
        </w:tc>
      </w:tr>
      <w:tr>
        <w:tblPrEx>
          <w:tblCellMar>
            <w:top w:w="0" w:type="dxa"/>
            <w:left w:w="108" w:type="dxa"/>
            <w:bottom w:w="0" w:type="dxa"/>
            <w:right w:w="108" w:type="dxa"/>
          </w:tblCellMar>
        </w:tblPrEx>
        <w:trPr>
          <w:trHeight w:val="13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一次性使用避光输液器带针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精密型 JS50.7mm*25mm 25支/盒 200支/件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9.8</w:t>
            </w:r>
          </w:p>
        </w:tc>
      </w:tr>
      <w:tr>
        <w:tblPrEx>
          <w:tblCellMar>
            <w:top w:w="0" w:type="dxa"/>
            <w:left w:w="108" w:type="dxa"/>
            <w:bottom w:w="0" w:type="dxa"/>
            <w:right w:w="108" w:type="dxa"/>
          </w:tblCellMar>
        </w:tblPrEx>
        <w:trPr>
          <w:trHeight w:val="90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胰岛素笔式数显注射器（诺和笔</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5关怀装</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愈脐胎毒清</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3片/盒,49.33/片</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148</w:t>
            </w:r>
          </w:p>
        </w:tc>
      </w:tr>
    </w:tbl>
    <w:p/>
    <w:p>
      <w:r>
        <w:rPr>
          <w:rFonts w:hint="eastAsia"/>
          <w:sz w:val="28"/>
        </w:rPr>
        <w:t>第十四包：</w:t>
      </w:r>
    </w:p>
    <w:tbl>
      <w:tblPr>
        <w:tblStyle w:val="24"/>
        <w:tblW w:w="5137" w:type="pct"/>
        <w:tblInd w:w="0" w:type="dxa"/>
        <w:tblLayout w:type="fixed"/>
        <w:tblCellMar>
          <w:top w:w="0" w:type="dxa"/>
          <w:left w:w="108" w:type="dxa"/>
          <w:bottom w:w="0" w:type="dxa"/>
          <w:right w:w="108" w:type="dxa"/>
        </w:tblCellMar>
      </w:tblPr>
      <w:tblGrid>
        <w:gridCol w:w="538"/>
        <w:gridCol w:w="1273"/>
        <w:gridCol w:w="1560"/>
        <w:gridCol w:w="4397"/>
        <w:gridCol w:w="988"/>
      </w:tblGrid>
      <w:tr>
        <w:tblPrEx>
          <w:tblCellMar>
            <w:top w:w="0" w:type="dxa"/>
            <w:left w:w="108" w:type="dxa"/>
            <w:bottom w:w="0" w:type="dxa"/>
            <w:right w:w="108" w:type="dxa"/>
          </w:tblCellMar>
        </w:tblPrEx>
        <w:trPr>
          <w:trHeight w:val="285" w:hRule="atLeast"/>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000000"/>
                <w:kern w:val="0"/>
                <w:sz w:val="24"/>
              </w:rPr>
            </w:pPr>
            <w:r>
              <w:rPr>
                <w:rFonts w:hint="eastAsia" w:cs="宋体" w:asciiTheme="minorEastAsia" w:hAnsiTheme="minorEastAsia"/>
                <w:b/>
                <w:bCs/>
                <w:color w:val="000000"/>
                <w:kern w:val="0"/>
                <w:sz w:val="24"/>
              </w:rPr>
              <w:t>参数</w:t>
            </w: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艾绒</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500小包/件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w:t>
            </w:r>
          </w:p>
        </w:tc>
      </w:tr>
      <w:tr>
        <w:tblPrEx>
          <w:tblCellMar>
            <w:top w:w="0" w:type="dxa"/>
            <w:left w:w="108" w:type="dxa"/>
            <w:bottom w:w="0" w:type="dxa"/>
            <w:right w:w="108" w:type="dxa"/>
          </w:tblCellMar>
        </w:tblPrEx>
        <w:trPr>
          <w:trHeight w:val="52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鼻呼吸采样管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Cufy50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规格：Cufy50</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69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避孕套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10只/合</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光面型、颗粒型、螺纹型、三合一型 49±2mm 52±2mm 55±2mm 结构组成：由天然乳胶橡胶经前硫化、浸胶、脱模、后硫化等工艺制成封闭端有储精囊，中间为薄膜套，开口边有卷边小环的胶膜制品，并加注硅油后用不透明的铝箔密封包装而成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3/个</w:t>
            </w:r>
          </w:p>
        </w:tc>
      </w:tr>
      <w:tr>
        <w:tblPrEx>
          <w:tblCellMar>
            <w:top w:w="0" w:type="dxa"/>
            <w:left w:w="108" w:type="dxa"/>
            <w:bottom w:w="0" w:type="dxa"/>
            <w:right w:w="108" w:type="dxa"/>
          </w:tblCellMar>
        </w:tblPrEx>
        <w:trPr>
          <w:trHeight w:val="150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便携式吸痰器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7E-A</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电源电压：AC220V、22V  50HZ、1HZ 输入功率：90VA  极限负压值：≥0.075MPa 负压调节范围：0.02MPa~极限负压值  噪音：≤65dB（A）  抽气速率：≥18L/min（7E-A） 熔丝管：RF1 5*20/1.5 A  贮液瓶：1000ml 1只    外形尺寸：280*196*285mm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1160</w:t>
            </w:r>
          </w:p>
        </w:tc>
      </w:tr>
      <w:tr>
        <w:tblPrEx>
          <w:tblCellMar>
            <w:top w:w="0" w:type="dxa"/>
            <w:left w:w="108" w:type="dxa"/>
            <w:bottom w:w="0" w:type="dxa"/>
            <w:right w:w="108" w:type="dxa"/>
          </w:tblCellMar>
        </w:tblPrEx>
        <w:trPr>
          <w:trHeight w:val="11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便携式吸痰器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A1*2</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无油自润滑单缸活塞泵  负压调节系统：高负压、大流量、吸引速度快，负压调节系统可作无级调压 溢流保护：没有溢流保护装置可以防止吸入的液体进入中间管道  聚碳酸酯塑料贮液瓶：聚碳酸酯塑料贮液瓶经久耐用、清洗方便、并可高温消毒</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960</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标准级显微镜载玻片</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1A5101/1A5105 25*75mm.50张/盒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1A5101/1A5105 25*75mm.50张/盒</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69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玻璃体温计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口腔（三角形棒式）</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产品结构：是由一根密封的玻璃管中装有感温液组成，玻璃管中有毛细孔，外表有标度线，尾部有感温泡 三角形棒式-口腔型-35~42℃  产品材料：体温计由玻璃和感温液组成，感温液为汞，汞符合GB913-2012第1.1条中一号汞的规定</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不锈钢按摩镊</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大圆</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不锈钢材质 圆形</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不锈钢扩阴器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采用不锈钢制成，经环氧乙烷消毒处理 手术90*34</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46.5</w:t>
            </w:r>
          </w:p>
        </w:tc>
      </w:tr>
      <w:tr>
        <w:tblPrEx>
          <w:tblCellMar>
            <w:top w:w="0" w:type="dxa"/>
            <w:left w:w="108" w:type="dxa"/>
            <w:bottom w:w="0" w:type="dxa"/>
            <w:right w:w="108" w:type="dxa"/>
          </w:tblCellMar>
        </w:tblPrEx>
        <w:trPr>
          <w:trHeight w:val="8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超声耦合剂</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250ml</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外观：产品一般应为无色或透明凝胶状，无或仅有少量气泡，无不容异物  PH值：5.5-8.0  粘度（25℃）≥15Pa.s  声速（35℃）：1520-1620m/s  声特性阻抗（35℃）：1.5*10六次方-1.7*10六次方Pa.s/m声衰减系数斜率（35℃）：≤0.05dB/（cm.MHz）</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持针钳</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18.0cmDRILE-WOOD细针直型</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18.0cmDRILE-WOOD细针直型</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216.3</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冲洗显影液</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582</w:t>
            </w:r>
          </w:p>
        </w:tc>
      </w:tr>
      <w:tr>
        <w:tblPrEx>
          <w:tblCellMar>
            <w:top w:w="0" w:type="dxa"/>
            <w:left w:w="108" w:type="dxa"/>
            <w:bottom w:w="0" w:type="dxa"/>
            <w:right w:w="108" w:type="dxa"/>
          </w:tblCellMar>
        </w:tblPrEx>
        <w:trPr>
          <w:trHeight w:val="130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带涂层内窥镜一次性无菌活体取样钳</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TM-BF-18/12-A-C</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结构组成：带图层一次性使用内窥镜活体取样钳由钳头部件、外管、滑块和手柄组成；金属钳头采用符合GB/T 1220-2007的05Cr17Ni4Cu4Nb、12Cr18Ni9制成，弹簧管和片针采用符合GB/T 1220-2007D的06Cr19Ni10制成，滑块和手柄采用符合GB/T12672-2009的ABS制成，外管涂层采用符合YY/T 0114-2008的聚乙烯、聚全氟乙丙烯制成；按带不带片针分为A型和B型，按尺寸不同分为若干规格 产品经环氧乙烷灭菌，应无菌。</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靛胭脂粘膜染色剂</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0.2%  100ml</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42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电针仪导线（针夹线）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配件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52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电子血压计(手臂)</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HEM-7052   HEM-7121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手臂式 HEM-7121 具有14种回忆功能，，由主体、袖带及空气管、电源适配器组成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电子血压计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HEM-645   HEM-8611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手腕式 HEM-8611</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8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非接触式红外体温仪</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JXB-178   JXB-183</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测量误差：≤0.3℃ 测量时间小于1秒 一键测量，操作简单 自由设定超温提示 大屏幕液晶三色背光显示，夜间都可清晰读书，可储存32个测量数据，电源电压：DC 3V（2节 5号碱性电池） 包装尺寸：187*120*57mm 测量范围：32℃-42.9℃ 功耗：≤450mW</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妇科刮片</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100片/包</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0.1</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肛门探针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JZ898AG   180 双头</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ZJ898AG 180双头 球2.5； ZJ898AG 180双头 球2</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93.6</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高频手术电极-消融电极术中止血装置（妇科利普刀用）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TD2-5 TD2-4  TD2-2</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TD2-5 环型5*5 ；TD2-4 三角15*10； TD2-4 三角20*12； TD2-2 （150）；TD2-5 10*15</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42</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高频手术电极（妇科）</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DP400.102.408.600.100.....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DP400.102.408.600.100.....</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加热片（大）</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检查手套（PE薄膜手套）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 50双/包 1250双/箱 5000双/件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中号 50双/包 1250双/箱 5000双/件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0.24</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检查手套（PE手套）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M号 50双/包 500双/盒 100盒/件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M号 50双/包 500双/盒 100盒/件 采用聚乙烯或PET粒料为原材料</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0.24</w:t>
            </w:r>
          </w:p>
        </w:tc>
      </w:tr>
      <w:tr>
        <w:tblPrEx>
          <w:tblCellMar>
            <w:top w:w="0" w:type="dxa"/>
            <w:left w:w="108" w:type="dxa"/>
            <w:bottom w:w="0" w:type="dxa"/>
            <w:right w:w="108" w:type="dxa"/>
          </w:tblCellMar>
        </w:tblPrEx>
        <w:trPr>
          <w:trHeight w:val="163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简易呼吸器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PVC  II</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按压体积：700ml 限压阀压力：50±10cm H2O 吸气阻抗 &lt;5cmH2O（在50L/min） 呼气阻抗 &lt;5cmH2O在15L/min） 病人阀接头口径：22/15cm 净重（g）：600g  球囊容积：1650ml  储气袋容积：2000ml 呼吸频率：12-15次/分钟  贮存条件：温度为-40℃~60℃，湿度为440%~95%  消毒方式：134℃的高压灭菌器反复消毒使用（除面罩、氧气管和空气袋）</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680</w:t>
            </w:r>
          </w:p>
        </w:tc>
      </w:tr>
      <w:tr>
        <w:tblPrEx>
          <w:tblCellMar>
            <w:top w:w="0" w:type="dxa"/>
            <w:left w:w="108" w:type="dxa"/>
            <w:bottom w:w="0" w:type="dxa"/>
            <w:right w:w="108" w:type="dxa"/>
          </w:tblCellMar>
        </w:tblPrEx>
        <w:trPr>
          <w:trHeight w:val="91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简易呼吸器（人工呼吸急救苏醒球套组）</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硅胶 ENT-1022</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型号：ENT-1022 球体容积 1600ml±150ml；球体材质 硅胶； 最大呼吸次数 45BPM；压力阀设定 60cm氧气±10cm氧气；储气袋容积 2700ml±200ml ；氧气浓度 90-95% ；面罩规格 5 ；储存温度 -40℃-60℃；包装规格 10套/箱</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980</w:t>
            </w:r>
          </w:p>
        </w:tc>
      </w:tr>
      <w:tr>
        <w:tblPrEx>
          <w:tblCellMar>
            <w:top w:w="0" w:type="dxa"/>
            <w:left w:w="108" w:type="dxa"/>
            <w:bottom w:w="0" w:type="dxa"/>
            <w:right w:w="108" w:type="dxa"/>
          </w:tblCellMar>
        </w:tblPrEx>
        <w:trPr>
          <w:trHeight w:val="31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肋骨骨膜剥离器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180 右式 头部 24*35</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 右式 头部 24*35</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168</w:t>
            </w:r>
          </w:p>
        </w:tc>
      </w:tr>
      <w:tr>
        <w:tblPrEx>
          <w:tblCellMar>
            <w:top w:w="0" w:type="dxa"/>
            <w:left w:w="108" w:type="dxa"/>
            <w:bottom w:w="0" w:type="dxa"/>
            <w:right w:w="108" w:type="dxa"/>
          </w:tblCellMar>
        </w:tblPrEx>
        <w:trPr>
          <w:trHeight w:val="31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肋骨骨膜剥离器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180 左式 头部24*35</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 左式 头部24*35</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286</w:t>
            </w:r>
          </w:p>
        </w:tc>
      </w:tr>
      <w:tr>
        <w:tblPrEx>
          <w:tblCellMar>
            <w:top w:w="0" w:type="dxa"/>
            <w:left w:w="108" w:type="dxa"/>
            <w:bottom w:w="0" w:type="dxa"/>
            <w:right w:w="108" w:type="dxa"/>
          </w:tblCellMar>
        </w:tblPrEx>
        <w:trPr>
          <w:trHeight w:val="48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卢戈式碘溶液</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  100ml</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  100ml</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w:t>
            </w:r>
          </w:p>
        </w:tc>
      </w:tr>
      <w:tr>
        <w:tblPrEx>
          <w:tblCellMar>
            <w:top w:w="0" w:type="dxa"/>
            <w:left w:w="108" w:type="dxa"/>
            <w:bottom w:w="0" w:type="dxa"/>
            <w:right w:w="108" w:type="dxa"/>
          </w:tblCellMar>
        </w:tblPrEx>
        <w:trPr>
          <w:trHeight w:val="115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脉冲电疗仪</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KWD-8081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1.五种输出波形：连续、断续、疏密、起伏、起止  2.基波脉冲频率范围在1.2-55Hz之间，宽度0.6ms  3.输出脉冲波形具有低频、低压、脉宽宽特点  4.负栽为50ω时输出最大脉冲幅度的变化范围50v±15v  5.各组输出强度单独可调  6.有辅助探测穴位功能，音乐提示功能、定时功能、电源交直流转换功能，开机安全保护功能  7.体积：220*170*75mm；重量：1.3kg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600</w:t>
            </w:r>
          </w:p>
        </w:tc>
      </w:tr>
      <w:tr>
        <w:tblPrEx>
          <w:tblCellMar>
            <w:top w:w="0" w:type="dxa"/>
            <w:left w:w="108" w:type="dxa"/>
            <w:bottom w:w="0" w:type="dxa"/>
            <w:right w:w="108" w:type="dxa"/>
          </w:tblCellMar>
        </w:tblPrEx>
        <w:trPr>
          <w:trHeight w:val="31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纳晶低针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3DL-D</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滑动式</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w:t>
            </w:r>
          </w:p>
        </w:tc>
      </w:tr>
      <w:tr>
        <w:tblPrEx>
          <w:tblCellMar>
            <w:top w:w="0" w:type="dxa"/>
            <w:left w:w="108" w:type="dxa"/>
            <w:bottom w:w="0" w:type="dxa"/>
            <w:right w:w="108" w:type="dxa"/>
          </w:tblCellMar>
        </w:tblPrEx>
        <w:trPr>
          <w:trHeight w:val="31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纳晶高针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3DL-G</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点提式</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w:t>
            </w:r>
          </w:p>
        </w:tc>
      </w:tr>
      <w:tr>
        <w:tblPrEx>
          <w:tblCellMar>
            <w:top w:w="0" w:type="dxa"/>
            <w:left w:w="108" w:type="dxa"/>
            <w:bottom w:w="0" w:type="dxa"/>
            <w:right w:w="108" w:type="dxa"/>
          </w:tblCellMar>
        </w:tblPrEx>
        <w:trPr>
          <w:trHeight w:val="31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纳晶中针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3DL-Z</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点提式</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电子血压器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HEM-7130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手臂式 HEM-7121 具有14种回忆功能，，由主体、袖带及空气管、电源适配器组成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580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配件（小氧气筒）</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配件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w:t>
            </w:r>
          </w:p>
        </w:tc>
      </w:tr>
      <w:tr>
        <w:tblPrEx>
          <w:tblCellMar>
            <w:top w:w="0" w:type="dxa"/>
            <w:left w:w="108" w:type="dxa"/>
            <w:bottom w:w="0" w:type="dxa"/>
            <w:right w:w="108" w:type="dxa"/>
          </w:tblCellMar>
        </w:tblPrEx>
        <w:trPr>
          <w:trHeight w:val="11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气垫床（医疗用波动喷气气垫）</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YQ-PBU</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气垫充气尺寸：1.82*0.82*0.08m³/台 ；气垫承重量：不得大于100KG ；外包装尺寸：两台/件 35*23*34cm/台</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1300</w:t>
            </w:r>
          </w:p>
        </w:tc>
      </w:tr>
      <w:tr>
        <w:tblPrEx>
          <w:tblCellMar>
            <w:top w:w="0" w:type="dxa"/>
            <w:left w:w="108" w:type="dxa"/>
            <w:bottom w:w="0" w:type="dxa"/>
            <w:right w:w="108" w:type="dxa"/>
          </w:tblCellMar>
        </w:tblPrEx>
        <w:trPr>
          <w:trHeight w:val="126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气垫床泵</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双气道</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额定电压：交流220±10% 50Hz±2%；耗电量：8.5VA； 工作时所产生噪音：≤40dB（A）；输出气压：2.7Kpa ；输出流量：10L/min ；保险丝：型号RT1-20 规格：0.16A 5*20 ；气泵外形尺寸：295*190*175mm/台 ；外包装尺寸：两台/件 35*23*34cm/台 防电击程度：B型 连续工作 大气压：800pa-1060hpa</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950</w:t>
            </w:r>
          </w:p>
        </w:tc>
      </w:tr>
      <w:tr>
        <w:tblPrEx>
          <w:tblCellMar>
            <w:top w:w="0" w:type="dxa"/>
            <w:left w:w="108" w:type="dxa"/>
            <w:bottom w:w="0" w:type="dxa"/>
            <w:right w:w="108" w:type="dxa"/>
          </w:tblCellMar>
        </w:tblPrEx>
        <w:trPr>
          <w:trHeight w:val="133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深呼吸训练器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TB-93500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每组器材包括：PS主体、ABS球、EVA延长管、PP咬嘴  肺量计主题腔容量（准确度±10%）5000ml 主体腔旁的小腔内色球提供吸气流量优劣的检视  包装：1pc/pkg、48pcs/box 储存及运输温度：-4°F to 140°F（-20°C to+60°C）</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w:t>
            </w:r>
          </w:p>
        </w:tc>
      </w:tr>
      <w:tr>
        <w:tblPrEx>
          <w:tblCellMar>
            <w:top w:w="0" w:type="dxa"/>
            <w:left w:w="108" w:type="dxa"/>
            <w:bottom w:w="0" w:type="dxa"/>
            <w:right w:w="108" w:type="dxa"/>
          </w:tblCellMar>
        </w:tblPrEx>
        <w:trPr>
          <w:trHeight w:val="28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师氏火针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37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手术剪（尖头）16cm</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手术剪（尖头）16cm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184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双管碳钢紫外线消毒车</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FY-30DC</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1、灯管功率：≥30W×2  2、灯管数量：2 支  3、静态适用面积：≥30m2   4、电源电压：220V±10%，频率：50Hz±10%  5、输人功率：180VA  6、紫外线波长：253.7nm  7、辐照强度：≥214uw/cm2  8、移动可折叠，灯管可内藏，可多角度调节：30°，60°，90°，135°，180°。  9、带定时装置：0-120 分钟。  10、灯管寿命：大于2000 小时  11、带脚轮可移动</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680</w:t>
            </w:r>
          </w:p>
        </w:tc>
      </w:tr>
      <w:tr>
        <w:tblPrEx>
          <w:tblCellMar>
            <w:top w:w="0" w:type="dxa"/>
            <w:left w:w="108" w:type="dxa"/>
            <w:bottom w:w="0" w:type="dxa"/>
            <w:right w:w="108" w:type="dxa"/>
          </w:tblCellMar>
        </w:tblPrEx>
        <w:trPr>
          <w:trHeight w:val="28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台式血压计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由上盖部件、汞瓶部件、底壳部件、臂带部件和气球部件组成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套筒组件（空气压力循环治疗仪配件）</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上肢  下肢</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1200</w:t>
            </w:r>
          </w:p>
        </w:tc>
      </w:tr>
      <w:tr>
        <w:tblPrEx>
          <w:tblCellMar>
            <w:top w:w="0" w:type="dxa"/>
            <w:left w:w="108" w:type="dxa"/>
            <w:bottom w:w="0" w:type="dxa"/>
            <w:right w:w="108" w:type="dxa"/>
          </w:tblCellMar>
        </w:tblPrEx>
        <w:trPr>
          <w:trHeight w:val="115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特定电磁波谱治疗仪</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L1 TDP</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电源电压：AC220V±10%  功率频率：230W±10%.50Hz 计时方式：机械定时（0-60分钟或通常）  支臂提升范围：30-1200mm 支臂伸缩范围：20-800mm  治疗头方位角：0-360° 治疗板直径：124mm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360</w:t>
            </w:r>
          </w:p>
        </w:tc>
      </w:tr>
      <w:tr>
        <w:tblPrEx>
          <w:tblCellMar>
            <w:top w:w="0" w:type="dxa"/>
            <w:left w:w="108" w:type="dxa"/>
            <w:bottom w:w="0" w:type="dxa"/>
            <w:right w:w="108" w:type="dxa"/>
          </w:tblCellMar>
        </w:tblPrEx>
        <w:trPr>
          <w:trHeight w:val="88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天然胶乳橡胶避孕套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10只/盒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由天然乳胶橡胶经前硫化、浸胶、脱模、后硫化等工艺制成封闭端有储精囊，中间为薄膜套，开口边有卷边小环的胶膜制品，并加注硅油后用不透明的铝箔密封包装而成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3/只</w:t>
            </w:r>
          </w:p>
        </w:tc>
      </w:tr>
      <w:tr>
        <w:tblPrEx>
          <w:tblCellMar>
            <w:top w:w="0" w:type="dxa"/>
            <w:left w:w="108" w:type="dxa"/>
            <w:bottom w:w="0" w:type="dxa"/>
            <w:right w:w="108" w:type="dxa"/>
          </w:tblCellMar>
        </w:tblPrEx>
        <w:trPr>
          <w:trHeight w:val="28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听诊器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插入式单用A型</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w:t>
            </w:r>
          </w:p>
        </w:tc>
      </w:tr>
      <w:tr>
        <w:tblPrEx>
          <w:tblCellMar>
            <w:top w:w="0" w:type="dxa"/>
            <w:left w:w="108" w:type="dxa"/>
            <w:bottom w:w="0" w:type="dxa"/>
            <w:right w:w="108" w:type="dxa"/>
          </w:tblCellMar>
        </w:tblPrEx>
        <w:trPr>
          <w:trHeight w:val="28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透气胶带（三伏贴.三九贴）</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7*7   200张/包</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胶布7*7无圈无末膜空白胶布，中间直径2.5cm孔</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0.32</w:t>
            </w:r>
          </w:p>
        </w:tc>
      </w:tr>
      <w:tr>
        <w:tblPrEx>
          <w:tblCellMar>
            <w:top w:w="0" w:type="dxa"/>
            <w:left w:w="108" w:type="dxa"/>
            <w:bottom w:w="0" w:type="dxa"/>
            <w:right w:w="108" w:type="dxa"/>
          </w:tblCellMar>
        </w:tblPrEx>
        <w:trPr>
          <w:trHeight w:val="285"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无盖方盘</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中#不锈钢</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中#不锈钢</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96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吸痰管（DRE型可控）</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12F</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结构及组成：该产品由医用高分子材料聚氯乙烯制成，由可控接头、I式接头、无菌小瓶、手套、导管、咬口器、固定带、带阀四通或带阀T三通、负压控制阀、注液接头、冲洗接头、牙刷头套、手柄、海绵头、薄膜护套等组成。该产品为无菌提供，一次性使用。</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压力灭菌化学指示卡（132*C）</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200片/盒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200片/盒</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压舌板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150mm*19mm,100片/包</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 xml:space="preserve">150mm*19mm,100片/包            </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由木质或其他材料制成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0.25/片</w:t>
            </w:r>
          </w:p>
        </w:tc>
      </w:tr>
      <w:tr>
        <w:tblPrEx>
          <w:tblCellMar>
            <w:top w:w="0" w:type="dxa"/>
            <w:left w:w="108" w:type="dxa"/>
            <w:bottom w:w="0" w:type="dxa"/>
            <w:right w:w="108" w:type="dxa"/>
          </w:tblCellMar>
        </w:tblPrEx>
        <w:trPr>
          <w:trHeight w:val="121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压缩雾化器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403C</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电源压力：AC220V±22V 50HZ±1HZ  最大雾化率：≥0.2ml/min  压缩泵最大压强：≥0.15MPa  熔丝管：RT 5*20/1.6A(403A)  压缩泵自由空气流量：≥10L/min  噪音：≤60dB（A) 外形尺寸：204*160*105mm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氧气袋</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枕</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42L</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w:t>
            </w:r>
          </w:p>
        </w:tc>
      </w:tr>
      <w:tr>
        <w:tblPrEx>
          <w:tblCellMar>
            <w:top w:w="0" w:type="dxa"/>
            <w:left w:w="108" w:type="dxa"/>
            <w:bottom w:w="0" w:type="dxa"/>
            <w:right w:w="108" w:type="dxa"/>
          </w:tblCellMar>
        </w:tblPrEx>
        <w:trPr>
          <w:trHeight w:val="120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氧压表（浮标式氧气吸入器）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XY-98B</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氧气流量调节范围：1~15L/min无级可调  承受13.7MPa高压，各连接位置不漏气  输出压力：0.2-0.3MPa  安全阀压力：0.35±0.05MPa      外形尺寸：185*65*240mm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一次性2700ML储气袋</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PN-0602-23</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PN-0602-23</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r>
      <w:tr>
        <w:tblPrEx>
          <w:tblCellMar>
            <w:top w:w="0" w:type="dxa"/>
            <w:left w:w="108" w:type="dxa"/>
            <w:bottom w:w="0" w:type="dxa"/>
            <w:right w:w="108" w:type="dxa"/>
          </w:tblCellMar>
        </w:tblPrEx>
        <w:trPr>
          <w:trHeight w:val="90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一次性切口扩张器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130/130-120/250  190/190-180/250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薄膜型BM1 规格：130/130-120/250 ；材质：聚氨酯  外环外径：130mm  内环外径130mm  通道外径：120mm  通道高度：250mm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460</w:t>
            </w:r>
          </w:p>
        </w:tc>
      </w:tr>
      <w:tr>
        <w:tblPrEx>
          <w:tblCellMar>
            <w:top w:w="0" w:type="dxa"/>
            <w:left w:w="108" w:type="dxa"/>
            <w:bottom w:w="0" w:type="dxa"/>
            <w:right w:w="108" w:type="dxa"/>
          </w:tblCellMar>
        </w:tblPrEx>
        <w:trPr>
          <w:trHeight w:val="79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一次性切口扩张器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BM2 160/160-150/250 BXL1 280/280-270/250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薄膜型BM2 规格：160/160-150/250 ；材质：聚氨酯  外环外径：160mm  内环外径160mm  通道外径：150mm  通道高度：250mm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460</w:t>
            </w:r>
          </w:p>
        </w:tc>
      </w:tr>
      <w:tr>
        <w:tblPrEx>
          <w:tblCellMar>
            <w:top w:w="0" w:type="dxa"/>
            <w:left w:w="108" w:type="dxa"/>
            <w:bottom w:w="0" w:type="dxa"/>
            <w:right w:w="108" w:type="dxa"/>
          </w:tblCellMar>
        </w:tblPrEx>
        <w:trPr>
          <w:trHeight w:val="156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一次性使用负压引流护创材料包</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AD-2-15*10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创面敷料：15±3 宽度：10±2 厚度：1±0.2  引流管数量：2根  海绵材质：PU  材质：聚氨酯海绵、医用聚乙烯醇海绵、聚氯乙烯  产品特点：由创面敷料（内置负压引流管和冲洗管：负压引流管上带有管夹）加长引流管路和医用贴膜组成，创面敷料由医用聚氨酯海绵内置软聚氯乙烯负压引流管和软聚氯乙烯冲洗管组成，加长引流管路是由加长引流管、直通、三通组成。加长引流管路和医用贴膜为选配，一次性使用负压引流护创包以灭菌状态供货，产品为一次性使用。</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3000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一次性使用呼吸回路</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HO-H03 儿童</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由直通、管路、呼吸Y型头、过滤器、弯头、螺帽、面罩、压阀、呼吸袋、积水杯组成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125</w:t>
            </w:r>
          </w:p>
        </w:tc>
      </w:tr>
      <w:tr>
        <w:tblPrEx>
          <w:tblCellMar>
            <w:top w:w="0" w:type="dxa"/>
            <w:left w:w="108" w:type="dxa"/>
            <w:bottom w:w="0" w:type="dxa"/>
            <w:right w:w="108" w:type="dxa"/>
          </w:tblCellMar>
        </w:tblPrEx>
        <w:trPr>
          <w:trHeight w:val="148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一次性使用护理垫</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300*250  150张/件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Ⅰ型（700mm*500mm）、Ⅲ型（300mm*250mm）分别由一层卫生用薄型非织造布中间夹细绒棉组成   1）热压的护理垫：至少有一组对边被热压且无明显分层现象。</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2）酸碱度：护理垫的PH应为5.4～7.6。</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3）环氧乙烷残留量：产品出厂时其环氧乙烷残留量应≤10μg/g。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w:t>
            </w:r>
          </w:p>
        </w:tc>
      </w:tr>
      <w:tr>
        <w:tblPrEx>
          <w:tblCellMar>
            <w:top w:w="0" w:type="dxa"/>
            <w:left w:w="108" w:type="dxa"/>
            <w:bottom w:w="0" w:type="dxa"/>
            <w:right w:w="108" w:type="dxa"/>
          </w:tblCellMar>
        </w:tblPrEx>
        <w:trPr>
          <w:trHeight w:val="121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一次性使用护理垫</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700*500  35张/件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Ⅱ型（600mm*400mm、600mm*600mm）由一层卫生用薄型非织造布、一层塑料膜、中间夹纸尿片组成。产品经环氧乙烷灭菌，无菌。 1）热压的护理垫：至少有一组对边被热压且无明显分层现象。</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2）酸碱度：护理垫的PH应为5.4～7.6。</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3）环氧乙烷残留量：产品出厂时其环氧乙烷残留量应≤10μg/g。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一次性使用脚套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 100双/包</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中号 100双/包</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一次性使用捆扎止血带</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A型 点联式 50条/盒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采用热塑性弹性体或热塑性橡胶材料制成，由橡胶条制成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一次性使用捆扎止血带</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BCD-1 点连式 50条/盒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采用热塑性弹性体或热塑性橡胶材料制成 由锁扣、卡口和高弹力松紧带组成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w:t>
            </w:r>
          </w:p>
        </w:tc>
      </w:tr>
      <w:tr>
        <w:tblPrEx>
          <w:tblCellMar>
            <w:top w:w="0" w:type="dxa"/>
            <w:left w:w="108" w:type="dxa"/>
            <w:bottom w:w="0" w:type="dxa"/>
            <w:right w:w="108" w:type="dxa"/>
          </w:tblCellMar>
        </w:tblPrEx>
        <w:trPr>
          <w:trHeight w:val="66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一次性使用帽子</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  100个/袋</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中号  100个/袋 符合FZ/T64005-2011标准要求的非织造布、经剪裁、热合而成，帽后沿下方应热合弹力橡筋，产品经环氧乙烷灭菌，无菌。</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0.42</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一次性使用脑压包</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0.9   40个/件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   40个/件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一次性使用无菌皮肤滚针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0.25*0.5mm   0.25*1.0mm</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0.25*0.5mm   0.25*1.0mm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w:t>
            </w:r>
          </w:p>
        </w:tc>
      </w:tr>
      <w:tr>
        <w:tblPrEx>
          <w:tblCellMar>
            <w:top w:w="0" w:type="dxa"/>
            <w:left w:w="108" w:type="dxa"/>
            <w:bottom w:w="0" w:type="dxa"/>
            <w:right w:w="108" w:type="dxa"/>
          </w:tblCellMar>
        </w:tblPrEx>
        <w:trPr>
          <w:trHeight w:val="126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一次性使用无菌阴道扩阴器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中号尺寸：下叶长L ≥98 视野口宽W≥28 叶宽b 28 ±2；材料：全透明、半透明两种。 半透明采用符合YY/T0242-2007的聚丙烯高分子材料制成，全透明采用符合GB/T12671-2008的聚苯乙烯高分子材料 ；外观：扩张器表面应光洁、无杂质，不赢有粉末或水银痕迹。扩张器上、下叶使用部位及周边均应圆弧光滑、无锋夌、无毛刺。扩张器上、下叶闭合时的接触面至外边缘应光整。</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一次性使用无菌注射针（会阴阻滞麻醉针）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0.9*80TWLB   100支/盒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一次性使用无菌注射针由针管、针座和保护套组成。经环氧乙烷灭菌。针管材料采用SUS304不锈钢；针座、保护套材料采用PP（聚丙烯）</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97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一次性使用吸痰管（封闭式）</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CI 14F</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吸痰管软管采用输血用软聚氯乙烯制成，其他配件主要采用丙烯晴-苯乙烯-丁二烯共聚物（简称ABS）材料制成</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一次性使用咬口（牙垫）</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大.小</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中号 100支/包/10包/件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69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一次性使用医用隔离衣</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XL  1件/袋 30件/箱</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XXL：身长181，胸围140，袖长96，袖口18，脚口24  采用非织造布为主原料，经裁剪，缝纫制成，非无菌提供，一次性使用。产品干净、清洁、无霉斑、表面不允许有粘黏、裂缝、空洞等缺陷</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95</w:t>
            </w:r>
          </w:p>
        </w:tc>
      </w:tr>
      <w:tr>
        <w:tblPrEx>
          <w:tblCellMar>
            <w:top w:w="0" w:type="dxa"/>
            <w:left w:w="108" w:type="dxa"/>
            <w:bottom w:w="0" w:type="dxa"/>
            <w:right w:w="108" w:type="dxa"/>
          </w:tblCellMar>
        </w:tblPrEx>
        <w:trPr>
          <w:trHeight w:val="14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一次性使用引流袋（灭菌）</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1000ml  25只/包 500只/件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引流袋的袋体、导管、吊耳、锥形2接头、排液口应采用符合GB15593规定的软聚氯乙烯塑料制成；限流装置、护帽、排液底塞应采用符合GB11115规定的低密度聚乙烯树脂材料制成。本品经环氧乙烷灭菌、无菌。</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1.54/个</w:t>
            </w:r>
          </w:p>
        </w:tc>
      </w:tr>
      <w:tr>
        <w:tblPrEx>
          <w:tblCellMar>
            <w:top w:w="0" w:type="dxa"/>
            <w:left w:w="108" w:type="dxa"/>
            <w:bottom w:w="0" w:type="dxa"/>
            <w:right w:w="108" w:type="dxa"/>
          </w:tblCellMar>
        </w:tblPrEx>
        <w:trPr>
          <w:trHeight w:val="45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一次性使用引流管-鼻用橄榄头</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中号-蘑菇头型（HR-GL）30个/包 1200个/件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HR-GL中号 1200支/件</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一次性使用有创压力传感器</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PT-1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测压范围为-6.65KPa-39.9KPa（-50mmHg-300mmHg）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一次性引流袋</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1000ml  25套/包</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 xml:space="preserve">1000ml  25套/包            </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本品经环氧乙烷灭菌、无菌。</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1.54/个</w:t>
            </w:r>
          </w:p>
        </w:tc>
      </w:tr>
      <w:tr>
        <w:tblPrEx>
          <w:tblCellMar>
            <w:top w:w="0" w:type="dxa"/>
            <w:left w:w="108" w:type="dxa"/>
            <w:bottom w:w="0" w:type="dxa"/>
            <w:right w:w="108" w:type="dxa"/>
          </w:tblCellMar>
        </w:tblPrEx>
        <w:trPr>
          <w:trHeight w:val="88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医用床式气垫</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KH-A型（带便孔）</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基本性能：输出气压12-25kpa  电源：AC22V±22V  50Hz±1Hz  电源线长度：1.28m（非屏蔽）  功率：12VA  玻璃保险管：F0.5AL250V 气床垫尺寸：长*宽：1900mm*1000mm±20mm  安全类别：II类B型  工作制：连续运行 噪音：≤45dB（A）</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医用丁腈检查手套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  50双/盒 10盒/件</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中号  50双/盒 10盒/件 该产品原材料为丁腈胶乳、交联剂、遮蔽剂、防老剂、凝固剂、表面处理剂、色膏。</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0.98/双</w:t>
            </w:r>
          </w:p>
        </w:tc>
      </w:tr>
      <w:tr>
        <w:tblPrEx>
          <w:tblCellMar>
            <w:top w:w="0" w:type="dxa"/>
            <w:left w:w="108" w:type="dxa"/>
            <w:bottom w:w="0" w:type="dxa"/>
            <w:right w:w="108" w:type="dxa"/>
          </w:tblCellMar>
        </w:tblPrEx>
        <w:trPr>
          <w:trHeight w:val="70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医用高分子夹板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JSF415 10</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JSP415 10cm*40cm 结构：由特制的玻璃纤维或聚酯纤维基布和聚氨酯胶组成 ；性能：它具有强度高、重量轻、硬化快、操作简单、舒适安全、无污染等特点</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155</w:t>
            </w:r>
          </w:p>
        </w:tc>
      </w:tr>
      <w:tr>
        <w:tblPrEx>
          <w:tblCellMar>
            <w:top w:w="0" w:type="dxa"/>
            <w:left w:w="108" w:type="dxa"/>
            <w:bottom w:w="0" w:type="dxa"/>
            <w:right w:w="108" w:type="dxa"/>
          </w:tblCellMar>
        </w:tblPrEx>
        <w:trPr>
          <w:trHeight w:val="52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医用高分子夹板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JSF530  12</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JSP530 12.5cm*75cm 结构：由特制的玻璃纤维或聚酯纤维基布和聚氨酯胶组成 ；性能：它具有强度高、重量轻、硬化快、操作简单、舒适安全、无污染等特点</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265</w:t>
            </w:r>
          </w:p>
        </w:tc>
      </w:tr>
      <w:tr>
        <w:tblPrEx>
          <w:tblCellMar>
            <w:top w:w="0" w:type="dxa"/>
            <w:left w:w="108" w:type="dxa"/>
            <w:bottom w:w="0" w:type="dxa"/>
            <w:right w:w="108" w:type="dxa"/>
          </w:tblCellMar>
        </w:tblPrEx>
        <w:trPr>
          <w:trHeight w:val="5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医用高分子夹板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JSP520-12.5cm*50cm</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JSP520 12.5cm*50cm 结构：由特制的玻璃纤维或聚酯纤维基布和聚氨酯胶组成 ；性能：它具有强度高、重量轻、硬化快、操作简单、舒适安全、无污染等特点</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225</w:t>
            </w:r>
          </w:p>
        </w:tc>
      </w:tr>
      <w:tr>
        <w:tblPrEx>
          <w:tblCellMar>
            <w:top w:w="0" w:type="dxa"/>
            <w:left w:w="108" w:type="dxa"/>
            <w:bottom w:w="0" w:type="dxa"/>
            <w:right w:w="108" w:type="dxa"/>
          </w:tblCellMar>
        </w:tblPrEx>
        <w:trPr>
          <w:trHeight w:val="5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医用高分子夹板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JSP545-12.5cm*115cm</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JSP545 12.5cm*115cm 结构：由特制的玻璃纤维或聚酯纤维基布和聚氨酯胶组成 ；性能：它具有强度高、重量轻、硬化快、操作简单、舒适安全、无污染等特点</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369</w:t>
            </w:r>
          </w:p>
        </w:tc>
      </w:tr>
      <w:tr>
        <w:tblPrEx>
          <w:tblCellMar>
            <w:top w:w="0" w:type="dxa"/>
            <w:left w:w="108" w:type="dxa"/>
            <w:bottom w:w="0" w:type="dxa"/>
            <w:right w:w="108" w:type="dxa"/>
          </w:tblCellMar>
        </w:tblPrEx>
        <w:trPr>
          <w:trHeight w:val="76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医用离心机</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TL80-1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医用离心机由电机、转盘、离心护管、控制电路及外壳所组成，按装载功能分为 TL80-1 TL80-2型 最高转速为4000r/min；最大离心力：TL80-1型为1960Xg，最大转头容量：60ml  最大输入功率：60VA</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860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医用棉签</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20支/包</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15cm*20支/小包2500支/大包</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0.27</w:t>
            </w:r>
          </w:p>
        </w:tc>
      </w:tr>
      <w:tr>
        <w:tblPrEx>
          <w:tblCellMar>
            <w:top w:w="0" w:type="dxa"/>
            <w:left w:w="108" w:type="dxa"/>
            <w:bottom w:w="0" w:type="dxa"/>
            <w:right w:w="108" w:type="dxa"/>
          </w:tblCellMar>
        </w:tblPrEx>
        <w:trPr>
          <w:trHeight w:val="91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医用润滑油（无菌液体石蜡）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10ml  15支/盒</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10ml  15支/盒 是由液状石蜡（多种液体混合物）而制成，产品无菌</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10/支</w:t>
            </w:r>
          </w:p>
        </w:tc>
      </w:tr>
      <w:tr>
        <w:tblPrEx>
          <w:tblCellMar>
            <w:top w:w="0" w:type="dxa"/>
            <w:left w:w="108" w:type="dxa"/>
            <w:bottom w:w="0" w:type="dxa"/>
            <w:right w:w="108" w:type="dxa"/>
          </w:tblCellMar>
        </w:tblPrEx>
        <w:trPr>
          <w:trHeight w:val="919"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87</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医用脱脂纱布块</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B型 8*6*8层 2块/小包 200块/袋</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B型 8*6*8层 2块/小包 200块/袋 原材料：符合YY0331-2006中规定的要求  B型为无X射线可探测组件的无菌纱布块 ；本产品为白色、柔软、无臭无味、无霉斑、无杂质、无破损、无污渍、无切边外露等缺陷，X射线可探测组件无断裂、脱落、跳线现象。</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0.32/块</w:t>
            </w:r>
          </w:p>
        </w:tc>
      </w:tr>
      <w:tr>
        <w:tblPrEx>
          <w:tblCellMar>
            <w:top w:w="0" w:type="dxa"/>
            <w:left w:w="108" w:type="dxa"/>
            <w:bottom w:w="0" w:type="dxa"/>
            <w:right w:w="108" w:type="dxa"/>
          </w:tblCellMar>
        </w:tblPrEx>
        <w:trPr>
          <w:trHeight w:val="114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88</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幽门螺杆菌试纸</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42TS</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组成成分：由圆形试纸、载体组成，载体为塑料片 试纸主要成分尿素的含量为0.4%，酚红的含量为0.016%。  幽门螺杆菌分解尿素产生氨，氨使PH值呈碱性，指示剂使试纸变为红色。供医疗单位对胃粘膜样本的幽门螺杆菌进行定性检查。 性能指标：批内不精密度：应≤5%  批间不精密度：应≤5%  准确性：阳性、阴性样本反应准确性为100%  重复性应≥90%</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89</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有盖方盘</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不锈钢.中#</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9寸 有盖</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90</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造口袋</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一件式开口袋</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开口袋 30个/盒 剪孔范围10-70mm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91</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指骨夹板（铝指板）</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成人号</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7cm、9cm、11.5cm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w:t>
            </w:r>
          </w:p>
        </w:tc>
      </w:tr>
      <w:tr>
        <w:tblPrEx>
          <w:tblCellMar>
            <w:top w:w="0" w:type="dxa"/>
            <w:left w:w="108" w:type="dxa"/>
            <w:bottom w:w="0" w:type="dxa"/>
            <w:right w:w="108" w:type="dxa"/>
          </w:tblCellMar>
        </w:tblPrEx>
        <w:trPr>
          <w:trHeight w:val="166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92</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指夹式脉搏血氧仪</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YX301</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显示方式：OLED显示  血氧饱和度显示：70 ~ 100%，±2%  脉率显示：25~ 250 BPM，±1%或±1BPM，取大者  电源：2节AAA 1.5V碱性电池，电压适应范围：2.6 ~ 3.6V  耗：小于30mA  测量精度：血氧饱和度在70%-99%段为±2%，小于70%无定义，脉率为±1%或 ±1BPM，取大者  弱灌注情况下的测量性能：在脉搏充盈度为0.6%时能正确显示血氧饱和度值和脉率值  抗环境光干扰能力：在室内自然光及现有照明光源下的血氧测量值与暗室条件下的测量值相比，偏差小于±1%   具有功能开关，无手指插入时8秒后自动关机</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93</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止血带</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5*7</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内径5mm，外径7mm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w:t>
            </w:r>
          </w:p>
        </w:tc>
      </w:tr>
      <w:tr>
        <w:tblPrEx>
          <w:tblCellMar>
            <w:top w:w="0" w:type="dxa"/>
            <w:left w:w="108" w:type="dxa"/>
            <w:bottom w:w="0" w:type="dxa"/>
            <w:right w:w="108" w:type="dxa"/>
          </w:tblCellMar>
        </w:tblPrEx>
        <w:trPr>
          <w:trHeight w:val="942"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94</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紫外线强度指示卡</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指示卡  100片/盒 30盒/箱 结构与性能：本产品卡片纸、紫外线感光色块和标准色块组成。卡片纸中间为紫外线感光色块，两端分别为70uW/cm和90uW/cm的标准色块，当紫外线感光色块受到紫外线照射后，随紫外线辐射强度的不同，产生深浅程度不同的颜色，与标准色块比较可监测紫外线灯辐射强度是否达到使用要求</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95</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子宫探针</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直28cm 3#</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96</w:t>
            </w:r>
          </w:p>
        </w:tc>
        <w:tc>
          <w:tcPr>
            <w:tcW w:w="72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组织钳</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1.8cmALLIS4*5 齿小头</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16-20cmALLIS4*5 小头</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w:t>
            </w:r>
          </w:p>
        </w:tc>
      </w:tr>
      <w:tr>
        <w:tblPrEx>
          <w:tblCellMar>
            <w:top w:w="0" w:type="dxa"/>
            <w:left w:w="108" w:type="dxa"/>
            <w:bottom w:w="0" w:type="dxa"/>
            <w:right w:w="108" w:type="dxa"/>
          </w:tblCellMar>
        </w:tblPrEx>
        <w:trPr>
          <w:trHeight w:val="270" w:hRule="atLeast"/>
        </w:trPr>
        <w:tc>
          <w:tcPr>
            <w:tcW w:w="30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97</w:t>
            </w:r>
          </w:p>
        </w:tc>
        <w:tc>
          <w:tcPr>
            <w:tcW w:w="72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眼科专用手术薄膜</w:t>
            </w:r>
          </w:p>
        </w:tc>
        <w:tc>
          <w:tcPr>
            <w:tcW w:w="8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18*14</w:t>
            </w:r>
          </w:p>
        </w:tc>
        <w:tc>
          <w:tcPr>
            <w:tcW w:w="251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8.8</w:t>
            </w:r>
          </w:p>
        </w:tc>
      </w:tr>
    </w:tbl>
    <w:p/>
    <w:p>
      <w:pPr>
        <w:rPr>
          <w:sz w:val="28"/>
        </w:rPr>
      </w:pPr>
      <w:r>
        <w:rPr>
          <w:rFonts w:hint="eastAsia"/>
          <w:sz w:val="28"/>
        </w:rPr>
        <w:t>第十五包：</w:t>
      </w:r>
    </w:p>
    <w:tbl>
      <w:tblPr>
        <w:tblStyle w:val="24"/>
        <w:tblW w:w="5137" w:type="pct"/>
        <w:tblInd w:w="0" w:type="dxa"/>
        <w:tblLayout w:type="fixed"/>
        <w:tblCellMar>
          <w:top w:w="0" w:type="dxa"/>
          <w:left w:w="108" w:type="dxa"/>
          <w:bottom w:w="0" w:type="dxa"/>
          <w:right w:w="108" w:type="dxa"/>
        </w:tblCellMar>
      </w:tblPr>
      <w:tblGrid>
        <w:gridCol w:w="530"/>
        <w:gridCol w:w="1277"/>
        <w:gridCol w:w="1559"/>
        <w:gridCol w:w="4397"/>
        <w:gridCol w:w="993"/>
      </w:tblGrid>
      <w:tr>
        <w:tblPrEx>
          <w:tblCellMar>
            <w:top w:w="0" w:type="dxa"/>
            <w:left w:w="108" w:type="dxa"/>
            <w:bottom w:w="0" w:type="dxa"/>
            <w:right w:w="108" w:type="dxa"/>
          </w:tblCellMar>
        </w:tblPrEx>
        <w:trPr>
          <w:trHeight w:val="285" w:hRule="atLeast"/>
        </w:trPr>
        <w:tc>
          <w:tcPr>
            <w:tcW w:w="3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10"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用途</w:t>
            </w:r>
          </w:p>
        </w:tc>
        <w:tc>
          <w:tcPr>
            <w:tcW w:w="56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189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1322蒸汽灭菌指示胶带</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压力蒸汽灭菌的包外化学监测，显示包裹是否已灭菌过。本胶带可使用于棉织物、无纺布、纸等多种包装材料。直接粘贴于包外，可直接观察变色情况，判断物品包是否通过灭菌处理。可用于下排气式和预真空式(包括脉动)压力蒸汽灭菌的化学监测。</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w:t>
            </w:r>
          </w:p>
        </w:tc>
      </w:tr>
      <w:tr>
        <w:tblPrEx>
          <w:tblCellMar>
            <w:top w:w="0" w:type="dxa"/>
            <w:left w:w="108" w:type="dxa"/>
            <w:bottom w:w="0" w:type="dxa"/>
            <w:right w:w="108" w:type="dxa"/>
          </w:tblCellMar>
        </w:tblPrEx>
        <w:trPr>
          <w:trHeight w:val="1054"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弹性柔绵宽胶带（进口）</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7.5cm*5m.6卷/盒.4盒/件</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用于对创面敷料、绷带等提供粘贴力，以起到固定作用。</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125</w:t>
            </w:r>
          </w:p>
        </w:tc>
      </w:tr>
      <w:tr>
        <w:tblPrEx>
          <w:tblCellMar>
            <w:top w:w="0" w:type="dxa"/>
            <w:left w:w="108" w:type="dxa"/>
            <w:bottom w:w="0" w:type="dxa"/>
            <w:right w:w="108" w:type="dxa"/>
          </w:tblCellMar>
        </w:tblPrEx>
        <w:trPr>
          <w:trHeight w:val="162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免洗手消毒液</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500ML /瓶.10瓶/件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适用于重症监护室、急诊室、病房、门诊等医护人员及其他有需要的人员进行快速手消毒。在缺乏清洁的水供应或用水不便的情况下尤其适用。</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778"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丝绸布胶带</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1.25Cm *9.1m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用于对创面敷料、绷带等提供粘贴力，以起到固定作用。</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10.5</w:t>
            </w:r>
          </w:p>
        </w:tc>
      </w:tr>
      <w:tr>
        <w:tblPrEx>
          <w:tblCellMar>
            <w:top w:w="0" w:type="dxa"/>
            <w:left w:w="108" w:type="dxa"/>
            <w:bottom w:w="0" w:type="dxa"/>
            <w:right w:w="108" w:type="dxa"/>
          </w:tblCellMar>
        </w:tblPrEx>
        <w:trPr>
          <w:trHeight w:val="162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透明薄膜敷贴（1679）-进口</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10cm*11.5cm 50张/盒 4盒/件</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产品可用于覆盖和保护导管部位和伤口，为伤口愈合维持一个湿润的环境，以便于进行自溶清创术。亦可用作第二级敷料，保护皮肤受损，将器械固定在皮肤上，也可用作护眼罩。</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108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透明敷料（1685）-进口</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8.5cm*11.5cm 50张/盒 4盒/件</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本产品适用于覆盖在伤口处保护伤口，固定导管于穿刺部位，同时可过通透明敷料部分观察伤口情况(使用时间不超过7天)。可适用的导管和伤口。</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81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透气胶带</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纸1.2cm*8m48卷/盒10盒/件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用于对创面敷料、绷带及管路等提供持续粘贴力，以起到固定作用。</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135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透气胶带（透气胶贴）</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纸2.4cm*9.1m12卷/盒10盒/件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用于对创面敷料、绷带及管路等提供持续粘贴力，以起到固定作用。</w:t>
            </w:r>
          </w:p>
        </w:tc>
        <w:tc>
          <w:tcPr>
            <w:tcW w:w="56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w:t>
            </w:r>
          </w:p>
        </w:tc>
      </w:tr>
      <w:tr>
        <w:tblPrEx>
          <w:tblCellMar>
            <w:top w:w="0" w:type="dxa"/>
            <w:left w:w="108" w:type="dxa"/>
            <w:bottom w:w="0" w:type="dxa"/>
            <w:right w:w="108" w:type="dxa"/>
          </w:tblCellMar>
        </w:tblPrEx>
        <w:trPr>
          <w:trHeight w:val="135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压力蒸汽灭菌生物培养指示剂（进口）</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1262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用于压力蒸汽灭菌效果的生物监测(包括下排气锅和预真空锅);通过培养基颜色变化，反应嗜热脂肪杆菌芽孢是否存活，从而判断压力蒸汽灭菌生物监测结果。</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1620" w:hRule="atLeast"/>
        </w:trPr>
        <w:tc>
          <w:tcPr>
            <w:tcW w:w="30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w:t>
            </w:r>
          </w:p>
        </w:tc>
        <w:tc>
          <w:tcPr>
            <w:tcW w:w="72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免洗手消毒液（进口）</w:t>
            </w:r>
          </w:p>
        </w:tc>
        <w:tc>
          <w:tcPr>
            <w:tcW w:w="89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液体（9250S）60ml/瓶</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适用于重症监护室、急诊室、病房、门诊等医护人员及其他有需要的人员进行快速手消毒。在缺乏清洁的水供应或用水不便的情况下尤其适用。</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bl>
    <w:p/>
    <w:p>
      <w:pPr>
        <w:rPr>
          <w:sz w:val="28"/>
        </w:rPr>
      </w:pPr>
      <w:r>
        <w:rPr>
          <w:rFonts w:hint="eastAsia"/>
          <w:sz w:val="28"/>
        </w:rPr>
        <w:t>第十六包：</w:t>
      </w:r>
    </w:p>
    <w:tbl>
      <w:tblPr>
        <w:tblStyle w:val="24"/>
        <w:tblW w:w="5137" w:type="pct"/>
        <w:tblInd w:w="0" w:type="dxa"/>
        <w:tblLayout w:type="fixed"/>
        <w:tblCellMar>
          <w:top w:w="0" w:type="dxa"/>
          <w:left w:w="108" w:type="dxa"/>
          <w:bottom w:w="0" w:type="dxa"/>
          <w:right w:w="108" w:type="dxa"/>
        </w:tblCellMar>
      </w:tblPr>
      <w:tblGrid>
        <w:gridCol w:w="533"/>
        <w:gridCol w:w="1275"/>
        <w:gridCol w:w="1560"/>
        <w:gridCol w:w="4397"/>
        <w:gridCol w:w="991"/>
      </w:tblGrid>
      <w:tr>
        <w:tblPrEx>
          <w:tblCellMar>
            <w:top w:w="0" w:type="dxa"/>
            <w:left w:w="108" w:type="dxa"/>
            <w:bottom w:w="0" w:type="dxa"/>
            <w:right w:w="108" w:type="dxa"/>
          </w:tblCellMar>
        </w:tblPrEx>
        <w:trPr>
          <w:trHeight w:val="285"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规格</w:t>
            </w:r>
          </w:p>
        </w:tc>
        <w:tc>
          <w:tcPr>
            <w:tcW w:w="25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参数</w:t>
            </w:r>
          </w:p>
        </w:tc>
        <w:tc>
          <w:tcPr>
            <w:tcW w:w="5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膀胱造瘘套件</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14Fr  340mm 5ml  2套/盒</w:t>
            </w:r>
          </w:p>
        </w:tc>
        <w:tc>
          <w:tcPr>
            <w:tcW w:w="2511"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导管14Fr全长340mm气囊容量5ml 前端开始5-20cm每1cm间隔 绿色</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865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标准级显微镜载玻片</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1A5101/1A5105 25*75mm.50张/盒 </w:t>
            </w:r>
          </w:p>
        </w:tc>
        <w:tc>
          <w:tcPr>
            <w:tcW w:w="2511"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抛光边45度角/单头单面磨砂、抛光边45度角</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导电膏Ten20</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10-20-8 3瓶/件</w:t>
            </w:r>
          </w:p>
        </w:tc>
        <w:tc>
          <w:tcPr>
            <w:tcW w:w="2511"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10-20-8 8oz（228克）罐装</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高压造影注射器（进口）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SSS-CTP-SPK</w:t>
            </w:r>
          </w:p>
        </w:tc>
        <w:tc>
          <w:tcPr>
            <w:tcW w:w="2511"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1个200ml针筒、1个60单路低压连接管、1个穿刺器式吸药器、1个排气管</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高压造影注射器及附件（进口）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SSQK65/115VS</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供多排CT机使用，配5套100ml针筒</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骨髓活检针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规格1.2-3.0 长度35-150mm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460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PDO 3-0 2cm*12 36包/盒</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紫色，单线</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泪点扩张器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中锥</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YZP020 中锥</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理疗电极片</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8片/包 CM4886HC</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梅花针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12*1</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七星梅花针/皮肤针</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三棱针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大号2.6*65mm</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2.6*65mm 10根装 非灭菌</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三棱针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小号1.6*65mm</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1.6*65mm 10根装 非灭菌</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透气胶带（三伏贴.三九贴）</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7*7   200张/包</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胶布7*7无圈无末膜空白胶布，中间直径2.5cm孔</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0.32/张</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一次性使用高压造影注射器及附件（进口）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SDS-CTP-SPK</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2个200ml针筒、1个60单路低压连接管、2个穿刺器式吸药器、1个排气管</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一次性使用高压注射器针筒及附件</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ART 700 SYR 25套/件</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供多排CT机使用，配5套100ml针筒</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一次性使用静脉留置针（高压）</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20G</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20G*1.16IN（0.7*15）</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一次性使用埋线针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圆尾设计 8号黄色</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一次性使用压力延长管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YCGY*3.81mm  120cm</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有效长度10/15/30/75/90/100/120/150</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医用蛋白胶(白云医用胶-α-氰基丙烯酸酯快速医用胶）</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0.5ml *1支</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无</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载玻片</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7109-50盒/件</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25.4mm*76.2mm*1mm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造口袋(开口肠造口袋）</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特殊二件式开口袋</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型号1697 透明50mm 15个/盒</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造口护理用品</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01758</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透明50mm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造口护理用品</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02832</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平面底盘 50mm/10-45mm 5个</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造口护理用品附件-可塑贴环</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12030</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内径17-19mm 外径47-49mm 10个/盒</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粘附载玻片</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50片/盒</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188105</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77</w:t>
            </w:r>
          </w:p>
        </w:tc>
      </w:tr>
    </w:tbl>
    <w:p/>
    <w:p>
      <w:pPr>
        <w:rPr>
          <w:sz w:val="28"/>
        </w:rPr>
      </w:pPr>
      <w:r>
        <w:rPr>
          <w:rFonts w:hint="eastAsia"/>
          <w:sz w:val="28"/>
        </w:rPr>
        <w:t>第十七包：</w:t>
      </w:r>
    </w:p>
    <w:tbl>
      <w:tblPr>
        <w:tblStyle w:val="24"/>
        <w:tblW w:w="5137" w:type="pct"/>
        <w:tblInd w:w="0" w:type="dxa"/>
        <w:tblLayout w:type="fixed"/>
        <w:tblCellMar>
          <w:top w:w="0" w:type="dxa"/>
          <w:left w:w="108" w:type="dxa"/>
          <w:bottom w:w="0" w:type="dxa"/>
          <w:right w:w="108" w:type="dxa"/>
        </w:tblCellMar>
      </w:tblPr>
      <w:tblGrid>
        <w:gridCol w:w="534"/>
        <w:gridCol w:w="1275"/>
        <w:gridCol w:w="1560"/>
        <w:gridCol w:w="4396"/>
        <w:gridCol w:w="991"/>
      </w:tblGrid>
      <w:tr>
        <w:tblPrEx>
          <w:tblCellMar>
            <w:top w:w="0" w:type="dxa"/>
            <w:left w:w="108" w:type="dxa"/>
            <w:bottom w:w="0" w:type="dxa"/>
            <w:right w:w="108" w:type="dxa"/>
          </w:tblCellMar>
        </w:tblPrEx>
        <w:trPr>
          <w:trHeight w:val="285" w:hRule="atLeast"/>
        </w:trPr>
        <w:tc>
          <w:tcPr>
            <w:tcW w:w="3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规格</w:t>
            </w:r>
          </w:p>
        </w:tc>
        <w:tc>
          <w:tcPr>
            <w:tcW w:w="25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用途</w:t>
            </w:r>
          </w:p>
        </w:tc>
        <w:tc>
          <w:tcPr>
            <w:tcW w:w="56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最高限价（元）　</w:t>
            </w:r>
          </w:p>
        </w:tc>
      </w:tr>
      <w:tr>
        <w:tblPrEx>
          <w:tblCellMar>
            <w:top w:w="0" w:type="dxa"/>
            <w:left w:w="108" w:type="dxa"/>
            <w:bottom w:w="0" w:type="dxa"/>
            <w:right w:w="108" w:type="dxa"/>
          </w:tblCellMar>
        </w:tblPrEx>
        <w:trPr>
          <w:trHeight w:val="81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带止血阀导管鞘（进口）</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6F.7F（圣犹达）</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该产品用于导入血管造影导管、末端未闭型导管、球囊和电极到血管中，以减少失血。</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402</w:t>
            </w:r>
          </w:p>
        </w:tc>
      </w:tr>
      <w:tr>
        <w:tblPrEx>
          <w:tblCellMar>
            <w:top w:w="0" w:type="dxa"/>
            <w:left w:w="108" w:type="dxa"/>
            <w:bottom w:w="0" w:type="dxa"/>
            <w:right w:w="108" w:type="dxa"/>
          </w:tblCellMar>
        </w:tblPrEx>
        <w:trPr>
          <w:trHeight w:val="81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双极临时起搏电极导管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5F  401763</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适用于在临时经静脉右心室起搏中使用。</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1168</w:t>
            </w:r>
          </w:p>
        </w:tc>
      </w:tr>
      <w:tr>
        <w:tblPrEx>
          <w:tblCellMar>
            <w:top w:w="0" w:type="dxa"/>
            <w:left w:w="108" w:type="dxa"/>
            <w:bottom w:w="0" w:type="dxa"/>
            <w:right w:w="108" w:type="dxa"/>
          </w:tblCellMar>
        </w:tblPrEx>
        <w:trPr>
          <w:trHeight w:val="81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双极临时起搏器电极导管（进口）</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6F(圣犹达)</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适用于在临时经静脉右心室起搏中使用。</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1144</w:t>
            </w:r>
          </w:p>
        </w:tc>
      </w:tr>
    </w:tbl>
    <w:p>
      <w:pPr>
        <w:rPr>
          <w:sz w:val="28"/>
        </w:rPr>
      </w:pPr>
    </w:p>
    <w:p>
      <w:pPr>
        <w:rPr>
          <w:sz w:val="28"/>
        </w:rPr>
      </w:pPr>
      <w:r>
        <w:rPr>
          <w:rFonts w:hint="eastAsia"/>
          <w:sz w:val="28"/>
        </w:rPr>
        <w:t>第十八包：</w:t>
      </w:r>
    </w:p>
    <w:tbl>
      <w:tblPr>
        <w:tblStyle w:val="24"/>
        <w:tblW w:w="5137" w:type="pct"/>
        <w:tblInd w:w="0" w:type="dxa"/>
        <w:tblLayout w:type="fixed"/>
        <w:tblCellMar>
          <w:top w:w="0" w:type="dxa"/>
          <w:left w:w="108" w:type="dxa"/>
          <w:bottom w:w="0" w:type="dxa"/>
          <w:right w:w="108" w:type="dxa"/>
        </w:tblCellMar>
      </w:tblPr>
      <w:tblGrid>
        <w:gridCol w:w="536"/>
        <w:gridCol w:w="1275"/>
        <w:gridCol w:w="1560"/>
        <w:gridCol w:w="4394"/>
        <w:gridCol w:w="991"/>
      </w:tblGrid>
      <w:tr>
        <w:tblPrEx>
          <w:tblCellMar>
            <w:top w:w="0" w:type="dxa"/>
            <w:left w:w="108" w:type="dxa"/>
            <w:bottom w:w="0" w:type="dxa"/>
            <w:right w:w="108" w:type="dxa"/>
          </w:tblCellMar>
        </w:tblPrEx>
        <w:trPr>
          <w:trHeight w:val="499" w:hRule="atLeast"/>
        </w:trPr>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color w:val="000000"/>
                <w:kern w:val="0"/>
                <w:sz w:val="24"/>
              </w:rPr>
            </w:pPr>
            <w:r>
              <w:rPr>
                <w:rFonts w:hint="eastAsia" w:cs="宋体" w:asciiTheme="minorEastAsia" w:hAnsiTheme="minorEastAsia"/>
                <w:b/>
                <w:bCs/>
                <w:color w:val="000000"/>
                <w:kern w:val="0"/>
                <w:sz w:val="24"/>
              </w:rPr>
              <w:t>用途</w:t>
            </w:r>
          </w:p>
        </w:tc>
        <w:tc>
          <w:tcPr>
            <w:tcW w:w="56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　</w:t>
            </w:r>
          </w:p>
        </w:tc>
      </w:tr>
      <w:tr>
        <w:tblPrEx>
          <w:tblCellMar>
            <w:top w:w="0" w:type="dxa"/>
            <w:left w:w="108" w:type="dxa"/>
            <w:bottom w:w="0" w:type="dxa"/>
            <w:right w:w="108" w:type="dxa"/>
          </w:tblCellMar>
        </w:tblPrEx>
        <w:trPr>
          <w:trHeight w:val="1046"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w:t>
            </w:r>
          </w:p>
        </w:tc>
        <w:tc>
          <w:tcPr>
            <w:tcW w:w="728"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一次性使用除菌吸氧管</w:t>
            </w:r>
          </w:p>
        </w:tc>
        <w:tc>
          <w:tcPr>
            <w:tcW w:w="89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WBO-BYG-YT-2</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氧疗的工具，用于输送氧气或湿化后输送氧气。</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23.3</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8" w:type="pct"/>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一次性使用负压采血器(大红.桔色</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促凝剂 5ml  100支/板</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用于医学检测中生化学免疫学检查的血液标本的采集</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0.84</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8" w:type="pct"/>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一次性使用负压采血器(绿色</w:t>
            </w:r>
          </w:p>
        </w:tc>
        <w:tc>
          <w:tcPr>
            <w:tcW w:w="891" w:type="pct"/>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kern w:val="0"/>
                <w:sz w:val="24"/>
              </w:rPr>
            </w:pPr>
            <w:r>
              <w:rPr>
                <w:rFonts w:hint="eastAsia" w:cs="宋体" w:asciiTheme="minorEastAsia" w:hAnsiTheme="minorEastAsia"/>
                <w:kern w:val="0"/>
                <w:sz w:val="24"/>
              </w:rPr>
              <w:t>肝素钠 5ml 100支/板 1800支/件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用于临床生化急诊生化</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0.96</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8" w:type="pct"/>
            <w:tcBorders>
              <w:top w:val="nil"/>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一次性使用负压采血器（黑色）</w:t>
            </w:r>
          </w:p>
        </w:tc>
        <w:tc>
          <w:tcPr>
            <w:tcW w:w="891" w:type="pct"/>
            <w:tcBorders>
              <w:top w:val="nil"/>
              <w:left w:val="nil"/>
              <w:bottom w:val="single" w:color="auto" w:sz="4" w:space="0"/>
              <w:right w:val="single" w:color="auto" w:sz="4" w:space="0"/>
            </w:tcBorders>
            <w:shd w:val="clear" w:color="auto" w:fill="auto"/>
            <w:vAlign w:val="bottom"/>
          </w:tcPr>
          <w:p>
            <w:pPr>
              <w:widowControl/>
              <w:jc w:val="center"/>
              <w:rPr>
                <w:rFonts w:cs="宋体" w:asciiTheme="minorEastAsia" w:hAnsiTheme="minorEastAsia"/>
                <w:kern w:val="0"/>
                <w:sz w:val="24"/>
              </w:rPr>
            </w:pPr>
            <w:r>
              <w:rPr>
                <w:rFonts w:hint="eastAsia" w:cs="宋体" w:asciiTheme="minorEastAsia" w:hAnsiTheme="minorEastAsia"/>
                <w:kern w:val="0"/>
                <w:sz w:val="24"/>
              </w:rPr>
              <w:t>枸橼酸钠1:4 1.6ml  100支/板</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专用于血沉法进行红细泡沉降率的检测</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一次性使用负压采血器（黄色）</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促凝剂/分离胶 5ml(12*100) 100支/板 1800支/件</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用于血清的生化学实验免疫检查</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1.11</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一次性使用负压采血器（蓝色）</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枸橼酸钠1:9 1.8ml  100支/板</w:t>
            </w:r>
          </w:p>
        </w:tc>
        <w:tc>
          <w:tcPr>
            <w:tcW w:w="2509"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用于凝血四项的检查</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0.88</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一次性使用负压采血器（紫色）</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血常规 EDTA2K 2ml  100支/板</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用于临床血液检测并适合各类血液细胞分析</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0.86</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一次性使用负压采血器无添加剂（大红）</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5ml 空管</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用于医学检测中生化学免疫学血清学及血库检测</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0.83</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一次性使用静脉采血针</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0.7*35mm</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适用于体外静脉血液采集，与真空采血管配套使用。</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0.4</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银离子抗菌功能性敷料</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10×20（油性）</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适用于创伤、烧烫伤、手术切口及各类感染性伤口。</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银离子抗菌功能性敷料</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10×20（干性）</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适用于创伤、烧烫伤、手术切口及各类感染性伤口。</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47</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一次性使用经外周静脉置入的中心静脉导管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1246.13</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该产品适用于通过外周静脉插入中心静脉系统,用于输注药液、抽取血样或压力监测。</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1300</w:t>
            </w:r>
          </w:p>
        </w:tc>
      </w:tr>
      <w:tr>
        <w:tblPrEx>
          <w:tblCellMar>
            <w:top w:w="0" w:type="dxa"/>
            <w:left w:w="108" w:type="dxa"/>
            <w:bottom w:w="0" w:type="dxa"/>
            <w:right w:w="108" w:type="dxa"/>
          </w:tblCellMar>
        </w:tblPrEx>
        <w:trPr>
          <w:trHeight w:val="499" w:hRule="atLeast"/>
        </w:trPr>
        <w:tc>
          <w:tcPr>
            <w:tcW w:w="30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一次性使用动脉血采集器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预设防针刺型3ml</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本品适用于动脉血样的采集和贮存，所采血样供血分析。</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13.8</w:t>
            </w:r>
          </w:p>
        </w:tc>
      </w:tr>
    </w:tbl>
    <w:p>
      <w:pPr>
        <w:rPr>
          <w:sz w:val="28"/>
        </w:rPr>
      </w:pPr>
      <w:r>
        <w:rPr>
          <w:rFonts w:hint="eastAsia"/>
          <w:sz w:val="28"/>
        </w:rPr>
        <w:t>第十九包：</w:t>
      </w:r>
    </w:p>
    <w:tbl>
      <w:tblPr>
        <w:tblStyle w:val="25"/>
        <w:tblW w:w="8959"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75"/>
        <w:gridCol w:w="1560"/>
        <w:gridCol w:w="439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27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品名</w:t>
            </w:r>
          </w:p>
        </w:tc>
        <w:tc>
          <w:tcPr>
            <w:tcW w:w="15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规格</w:t>
            </w:r>
          </w:p>
        </w:tc>
        <w:tc>
          <w:tcPr>
            <w:tcW w:w="43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参数</w:t>
            </w:r>
          </w:p>
        </w:tc>
        <w:tc>
          <w:tcPr>
            <w:tcW w:w="992" w:type="dxa"/>
          </w:tcPr>
          <w:p>
            <w:pPr>
              <w:rPr>
                <w:rFonts w:asciiTheme="minorEastAsia" w:hAnsiTheme="minorEastAsia" w:eastAsiaTheme="minorEastAsia"/>
                <w:sz w:val="24"/>
              </w:rPr>
            </w:pPr>
            <w:r>
              <w:rPr>
                <w:rFonts w:hint="eastAsia" w:asciiTheme="minorEastAsia" w:hAnsiTheme="minorEastAsia" w:eastAsiaTheme="minorEastAsia"/>
                <w:sz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trPr>
        <w:tc>
          <w:tcPr>
            <w:tcW w:w="73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27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电动洗衣胃机</w:t>
            </w:r>
          </w:p>
        </w:tc>
        <w:tc>
          <w:tcPr>
            <w:tcW w:w="15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7D</w:t>
            </w:r>
          </w:p>
        </w:tc>
        <w:tc>
          <w:tcPr>
            <w:tcW w:w="4394" w:type="dxa"/>
          </w:tcPr>
          <w:p>
            <w:pPr>
              <w:numPr>
                <w:ilvl w:val="0"/>
                <w:numId w:val="5"/>
              </w:numPr>
              <w:snapToGrid w:val="0"/>
              <w:rPr>
                <w:rFonts w:asciiTheme="minorEastAsia" w:hAnsiTheme="minorEastAsia" w:eastAsiaTheme="minorEastAsia"/>
                <w:sz w:val="24"/>
              </w:rPr>
            </w:pPr>
            <w:r>
              <w:rPr>
                <w:rFonts w:hint="eastAsia" w:asciiTheme="minorEastAsia" w:hAnsiTheme="minorEastAsia" w:eastAsiaTheme="minorEastAsia"/>
                <w:sz w:val="24"/>
              </w:rPr>
              <w:t xml:space="preserve">电源：AC220V，50Hz。      </w:t>
            </w:r>
          </w:p>
          <w:p>
            <w:pPr>
              <w:tabs>
                <w:tab w:val="left" w:pos="312"/>
              </w:tabs>
              <w:snapToGrid w:val="0"/>
              <w:rPr>
                <w:rFonts w:asciiTheme="minorEastAsia" w:hAnsiTheme="minorEastAsia" w:eastAsiaTheme="minorEastAsia"/>
                <w:sz w:val="24"/>
              </w:rPr>
            </w:pPr>
            <w:r>
              <w:rPr>
                <w:rFonts w:hint="eastAsia" w:asciiTheme="minorEastAsia" w:hAnsiTheme="minorEastAsia" w:eastAsiaTheme="minorEastAsia"/>
                <w:sz w:val="24"/>
              </w:rPr>
              <w:t xml:space="preserve">2.输入功率：≦250VA。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3.流量：≧2L/min。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4.噪声：≦65dB（A）。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5.自控：冲液量为250-350mL/次，吸液量为350-450mL/次。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6.储液桶：10L/只，2只一组。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7.运行模式：连续运行。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8.熔丝管：T1AL250V，φ5*20（网电源用）F4AL250V，φ5*20（变压器用）。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9.重量：25.5kg，外形尺寸：362*400*850（mm）. </w:t>
            </w:r>
          </w:p>
          <w:p>
            <w:pPr>
              <w:snapToGrid w:val="0"/>
              <w:rPr>
                <w:rFonts w:asciiTheme="minorEastAsia" w:hAnsiTheme="minorEastAsia" w:eastAsiaTheme="minorEastAsia"/>
                <w:sz w:val="24"/>
              </w:rPr>
            </w:pPr>
            <w:r>
              <w:rPr>
                <w:rFonts w:hint="eastAsia" w:asciiTheme="minorEastAsia" w:hAnsiTheme="minorEastAsia" w:eastAsiaTheme="minorEastAsia"/>
                <w:sz w:val="24"/>
              </w:rPr>
              <w:t xml:space="preserve">10.电气安全要求：I类设备，BF型应用部分。  </w:t>
            </w:r>
          </w:p>
          <w:p>
            <w:pPr>
              <w:snapToGrid w:val="0"/>
              <w:rPr>
                <w:rFonts w:asciiTheme="minorEastAsia" w:hAnsiTheme="minorEastAsia" w:eastAsiaTheme="minorEastAsia"/>
                <w:sz w:val="24"/>
              </w:rPr>
            </w:pPr>
            <w:r>
              <w:rPr>
                <w:rFonts w:hint="eastAsia" w:asciiTheme="minorEastAsia" w:hAnsiTheme="minorEastAsia" w:eastAsiaTheme="minorEastAsia"/>
                <w:sz w:val="24"/>
              </w:rPr>
              <w:t>11.防进液等级：IPX0。</w:t>
            </w:r>
          </w:p>
        </w:tc>
        <w:tc>
          <w:tcPr>
            <w:tcW w:w="992" w:type="dxa"/>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27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负压引流器</w:t>
            </w:r>
          </w:p>
        </w:tc>
        <w:tc>
          <w:tcPr>
            <w:tcW w:w="15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YDC 2000ml</w:t>
            </w:r>
          </w:p>
        </w:tc>
        <w:tc>
          <w:tcPr>
            <w:tcW w:w="4394" w:type="dxa"/>
          </w:tcPr>
          <w:p>
            <w:pPr>
              <w:snapToGrid w:val="0"/>
              <w:rPr>
                <w:rFonts w:asciiTheme="minorEastAsia" w:hAnsiTheme="minorEastAsia" w:eastAsiaTheme="minorEastAsia"/>
                <w:sz w:val="24"/>
              </w:rPr>
            </w:pPr>
            <w:r>
              <w:rPr>
                <w:rFonts w:hint="eastAsia" w:asciiTheme="minorEastAsia" w:hAnsiTheme="minorEastAsia" w:eastAsiaTheme="minorEastAsia"/>
                <w:sz w:val="24"/>
              </w:rPr>
              <w:t>1.承受最大负压：-0.1MPa。</w:t>
            </w:r>
          </w:p>
          <w:p>
            <w:pPr>
              <w:snapToGrid w:val="0"/>
              <w:rPr>
                <w:rFonts w:asciiTheme="minorEastAsia" w:hAnsiTheme="minorEastAsia" w:eastAsiaTheme="minorEastAsia"/>
                <w:sz w:val="24"/>
              </w:rPr>
            </w:pPr>
            <w:r>
              <w:rPr>
                <w:rFonts w:hint="eastAsia" w:asciiTheme="minorEastAsia" w:hAnsiTheme="minorEastAsia" w:eastAsiaTheme="minorEastAsia"/>
                <w:sz w:val="24"/>
              </w:rPr>
              <w:t>2.产品材质：环保PE、高弹PVC。</w:t>
            </w:r>
          </w:p>
          <w:p>
            <w:pPr>
              <w:snapToGrid w:val="0"/>
              <w:rPr>
                <w:rFonts w:asciiTheme="minorEastAsia" w:hAnsiTheme="minorEastAsia" w:eastAsiaTheme="minorEastAsia" w:cstheme="minorEastAsia"/>
                <w:sz w:val="24"/>
              </w:rPr>
            </w:pPr>
            <w:r>
              <w:rPr>
                <w:rFonts w:hint="eastAsia" w:asciiTheme="minorEastAsia" w:hAnsiTheme="minorEastAsia" w:eastAsiaTheme="minorEastAsia"/>
                <w:sz w:val="24"/>
              </w:rPr>
              <w:t>3.容积：规定容量的</w:t>
            </w:r>
            <w:r>
              <w:rPr>
                <w:rFonts w:hint="eastAsia" w:cs="宋体" w:asciiTheme="minorEastAsia" w:hAnsiTheme="minorEastAsia" w:eastAsiaTheme="minorEastAsia"/>
                <w:sz w:val="24"/>
              </w:rPr>
              <w:t>±</w:t>
            </w:r>
            <w:r>
              <w:rPr>
                <w:rFonts w:hint="eastAsia" w:asciiTheme="minorEastAsia" w:hAnsiTheme="minorEastAsia" w:eastAsiaTheme="minorEastAsia" w:cstheme="minorEastAsia"/>
                <w:sz w:val="24"/>
              </w:rPr>
              <w:t>50ml（普通型）</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4.拉力：盖子与袋子拉力</w:t>
            </w:r>
            <w:r>
              <w:rPr>
                <w:rFonts w:hint="eastAsia" w:cs="宋体" w:asciiTheme="minorEastAsia" w:hAnsiTheme="minorEastAsia" w:eastAsiaTheme="minorEastAsia"/>
                <w:sz w:val="24"/>
              </w:rPr>
              <w:t>&gt;</w:t>
            </w:r>
            <w:r>
              <w:rPr>
                <w:rFonts w:hint="eastAsia" w:asciiTheme="minorEastAsia" w:hAnsiTheme="minorEastAsia" w:eastAsiaTheme="minorEastAsia" w:cstheme="minorEastAsia"/>
                <w:sz w:val="24"/>
              </w:rPr>
              <w:t>400N，并持继30S。盖子与鲁尔接头处拉力</w:t>
            </w:r>
            <w:r>
              <w:rPr>
                <w:rFonts w:hint="eastAsia" w:cs="宋体" w:asciiTheme="minorEastAsia" w:hAnsiTheme="minorEastAsia" w:eastAsiaTheme="minorEastAsia"/>
                <w:sz w:val="24"/>
              </w:rPr>
              <w:t>&gt;15</w:t>
            </w:r>
            <w:r>
              <w:rPr>
                <w:rFonts w:hint="eastAsia" w:asciiTheme="minorEastAsia" w:hAnsiTheme="minorEastAsia" w:eastAsiaTheme="minorEastAsia" w:cstheme="minorEastAsia"/>
                <w:sz w:val="24"/>
              </w:rPr>
              <w:t>0N。</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5.跌落：产品置于0.5米高度，垂直跌落于光滑硬质地面。袋体无泄露。</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stheme="minorBidi"/>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27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一次性负压引流器</w:t>
            </w:r>
          </w:p>
        </w:tc>
        <w:tc>
          <w:tcPr>
            <w:tcW w:w="156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1000ml</w:t>
            </w:r>
          </w:p>
        </w:tc>
        <w:tc>
          <w:tcPr>
            <w:tcW w:w="4394" w:type="dxa"/>
          </w:tcPr>
          <w:p>
            <w:pPr>
              <w:numPr>
                <w:ilvl w:val="0"/>
                <w:numId w:val="6"/>
              </w:numPr>
              <w:rPr>
                <w:rFonts w:asciiTheme="minorEastAsia" w:hAnsiTheme="minorEastAsia" w:eastAsiaTheme="minorEastAsia"/>
                <w:sz w:val="24"/>
              </w:rPr>
            </w:pPr>
            <w:r>
              <w:rPr>
                <w:rFonts w:hint="eastAsia" w:asciiTheme="minorEastAsia" w:hAnsiTheme="minorEastAsia" w:eastAsiaTheme="minorEastAsia"/>
                <w:sz w:val="24"/>
              </w:rPr>
              <w:t>产品材质：环保PE</w:t>
            </w:r>
          </w:p>
          <w:p>
            <w:pPr>
              <w:numPr>
                <w:ilvl w:val="0"/>
                <w:numId w:val="6"/>
              </w:numPr>
              <w:rPr>
                <w:rFonts w:asciiTheme="minorEastAsia" w:hAnsiTheme="minorEastAsia" w:eastAsiaTheme="minorEastAsia"/>
                <w:sz w:val="24"/>
              </w:rPr>
            </w:pPr>
            <w:r>
              <w:rPr>
                <w:rFonts w:hint="eastAsia" w:asciiTheme="minorEastAsia" w:hAnsiTheme="minorEastAsia" w:eastAsiaTheme="minorEastAsia"/>
                <w:sz w:val="24"/>
              </w:rPr>
              <w:t>容积：规定容量的</w:t>
            </w:r>
            <w:r>
              <w:rPr>
                <w:rFonts w:hint="eastAsia" w:cs="宋体" w:asciiTheme="minorEastAsia" w:hAnsiTheme="minorEastAsia" w:eastAsiaTheme="minorEastAsia"/>
                <w:sz w:val="24"/>
              </w:rPr>
              <w:t>±</w:t>
            </w:r>
            <w:r>
              <w:rPr>
                <w:rFonts w:hint="eastAsia" w:asciiTheme="minorEastAsia" w:hAnsiTheme="minorEastAsia" w:eastAsiaTheme="minorEastAsia" w:cstheme="minorEastAsia"/>
                <w:sz w:val="24"/>
              </w:rPr>
              <w:t>50ml（普通型）</w:t>
            </w:r>
          </w:p>
          <w:p>
            <w:pPr>
              <w:numPr>
                <w:ilvl w:val="0"/>
                <w:numId w:val="6"/>
              </w:numPr>
              <w:rPr>
                <w:rFonts w:asciiTheme="minorEastAsia" w:hAnsiTheme="minorEastAsia" w:eastAsiaTheme="minorEastAsia"/>
                <w:sz w:val="24"/>
              </w:rPr>
            </w:pPr>
            <w:r>
              <w:rPr>
                <w:rFonts w:hint="eastAsia" w:asciiTheme="minorEastAsia" w:hAnsiTheme="minorEastAsia" w:eastAsiaTheme="minorEastAsia" w:cstheme="minorEastAsia"/>
                <w:sz w:val="24"/>
              </w:rPr>
              <w:t>拉力：盖子与袋子拉力</w:t>
            </w:r>
            <w:r>
              <w:rPr>
                <w:rFonts w:hint="eastAsia" w:cs="宋体" w:asciiTheme="minorEastAsia" w:hAnsiTheme="minorEastAsia" w:eastAsiaTheme="minorEastAsia"/>
                <w:sz w:val="24"/>
              </w:rPr>
              <w:t>&gt;</w:t>
            </w:r>
            <w:r>
              <w:rPr>
                <w:rFonts w:hint="eastAsia" w:asciiTheme="minorEastAsia" w:hAnsiTheme="minorEastAsia" w:eastAsiaTheme="minorEastAsia" w:cstheme="minorEastAsia"/>
                <w:sz w:val="24"/>
              </w:rPr>
              <w:t>400N，并持继30S。</w:t>
            </w:r>
          </w:p>
          <w:p>
            <w:pPr>
              <w:numPr>
                <w:ilvl w:val="0"/>
                <w:numId w:val="6"/>
              </w:numPr>
              <w:rPr>
                <w:rFonts w:asciiTheme="minorEastAsia" w:hAnsiTheme="minorEastAsia" w:eastAsiaTheme="minorEastAsia"/>
                <w:sz w:val="24"/>
              </w:rPr>
            </w:pPr>
            <w:r>
              <w:rPr>
                <w:rFonts w:hint="eastAsia" w:asciiTheme="minorEastAsia" w:hAnsiTheme="minorEastAsia" w:eastAsiaTheme="minorEastAsia" w:cstheme="minorEastAsia"/>
                <w:sz w:val="24"/>
              </w:rPr>
              <w:t>跌落：产品置于0.5米高度，垂直跌落于光滑硬质地面。袋体无泄露。</w:t>
            </w:r>
          </w:p>
        </w:tc>
        <w:tc>
          <w:tcPr>
            <w:tcW w:w="99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理疗用体表电极（妇产科）</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矩形50mm*50mm 1包/20片</w:t>
            </w:r>
          </w:p>
        </w:tc>
        <w:tc>
          <w:tcPr>
            <w:tcW w:w="4394" w:type="dxa"/>
          </w:tcPr>
          <w:p>
            <w:pPr>
              <w:snapToGrid w:val="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1）组成：导电电极片、保护膜、连接件组成；电极片有导电硅胶层和其他辅助曾组成，不含药物成分；</w:t>
            </w:r>
          </w:p>
          <w:p>
            <w:pPr>
              <w:snapToGrid w:val="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2）作用：用于传到一起发出的电脉冲信号；</w:t>
            </w:r>
          </w:p>
          <w:p>
            <w:pPr>
              <w:snapToGrid w:val="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3）尺寸：50</w:t>
            </w:r>
            <w:r>
              <w:rPr>
                <w:rFonts w:asciiTheme="minorEastAsia" w:hAnsiTheme="minorEastAsia" w:eastAsiaTheme="minorEastAsia"/>
                <w:bCs/>
                <w:color w:val="000000"/>
                <w:sz w:val="24"/>
              </w:rPr>
              <w:t>mm*50mm</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cstheme="minorBidi"/>
                <w:sz w:val="24"/>
              </w:rPr>
              <w:t>8/片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理疗用体表电极</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矩形70mm*120mm 1包/20片</w:t>
            </w:r>
          </w:p>
        </w:tc>
        <w:tc>
          <w:tcPr>
            <w:tcW w:w="4394" w:type="dxa"/>
          </w:tcPr>
          <w:p>
            <w:pPr>
              <w:snapToGrid w:val="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1）组成：导电电极片、保护膜、连接件组成；电极片有导电硅胶层和其他辅助层组成，不含药物成分；</w:t>
            </w:r>
          </w:p>
          <w:p>
            <w:pPr>
              <w:snapToGrid w:val="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2）作用：用于传到一起发出的电脉冲信号；</w:t>
            </w:r>
          </w:p>
          <w:p>
            <w:pPr>
              <w:rPr>
                <w:rFonts w:asciiTheme="minorEastAsia" w:hAnsiTheme="minorEastAsia" w:eastAsiaTheme="minorEastAsia"/>
                <w:sz w:val="24"/>
              </w:rPr>
            </w:pPr>
            <w:r>
              <w:rPr>
                <w:rFonts w:hint="eastAsia" w:asciiTheme="minorEastAsia" w:hAnsiTheme="minorEastAsia" w:eastAsiaTheme="minorEastAsia"/>
                <w:bCs/>
                <w:color w:val="000000"/>
                <w:sz w:val="24"/>
              </w:rPr>
              <w:t>3）尺寸：70</w:t>
            </w:r>
            <w:r>
              <w:rPr>
                <w:rFonts w:asciiTheme="minorEastAsia" w:hAnsiTheme="minorEastAsia" w:eastAsiaTheme="minorEastAsia"/>
                <w:bCs/>
                <w:color w:val="000000"/>
                <w:sz w:val="24"/>
              </w:rPr>
              <w:t>mm*</w:t>
            </w:r>
            <w:r>
              <w:rPr>
                <w:rFonts w:hint="eastAsia" w:asciiTheme="minorEastAsia" w:hAnsiTheme="minorEastAsia" w:eastAsiaTheme="minorEastAsia"/>
                <w:bCs/>
                <w:color w:val="000000"/>
                <w:sz w:val="24"/>
              </w:rPr>
              <w:t>12</w:t>
            </w:r>
            <w:r>
              <w:rPr>
                <w:rFonts w:asciiTheme="minorEastAsia" w:hAnsiTheme="minorEastAsia" w:eastAsiaTheme="minorEastAsia"/>
                <w:bCs/>
                <w:color w:val="000000"/>
                <w:sz w:val="24"/>
              </w:rPr>
              <w:t>0mm</w:t>
            </w:r>
          </w:p>
        </w:tc>
        <w:tc>
          <w:tcPr>
            <w:tcW w:w="992" w:type="dxa"/>
            <w:vAlign w:val="center"/>
          </w:tcPr>
          <w:p>
            <w:pPr>
              <w:jc w:val="center"/>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25/片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盆底肌肉康复器</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MLD K2</w:t>
            </w:r>
          </w:p>
        </w:tc>
        <w:tc>
          <w:tcPr>
            <w:tcW w:w="4394" w:type="dxa"/>
          </w:tcPr>
          <w:p>
            <w:pPr>
              <w:snapToGrid w:val="0"/>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1）</w:t>
            </w:r>
            <w:r>
              <w:rPr>
                <w:rFonts w:hint="eastAsia" w:asciiTheme="minorEastAsia" w:hAnsiTheme="minorEastAsia" w:eastAsiaTheme="minorEastAsia"/>
                <w:color w:val="000000"/>
                <w:sz w:val="24"/>
              </w:rPr>
              <w:t>由不同重量的康复器主体和尾部引线组成。</w:t>
            </w:r>
          </w:p>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2）康复器主体可完全由高分子材料制成,也可由高分子材料和内置配重金属块组成;尾部引线为橡胶材料。</w:t>
            </w:r>
          </w:p>
          <w:p>
            <w:pPr>
              <w:snapToGrid w:val="0"/>
              <w:rPr>
                <w:rFonts w:asciiTheme="minorEastAsia" w:hAnsiTheme="minorEastAsia" w:eastAsiaTheme="minorEastAsia"/>
                <w:bCs/>
                <w:color w:val="000000"/>
                <w:sz w:val="24"/>
              </w:rPr>
            </w:pPr>
            <w:r>
              <w:rPr>
                <w:rFonts w:hint="eastAsia" w:asciiTheme="minorEastAsia" w:hAnsiTheme="minorEastAsia" w:eastAsiaTheme="minorEastAsia"/>
                <w:color w:val="000000"/>
                <w:sz w:val="24"/>
              </w:rPr>
              <w:t>3）盆底肌肉康复器是针对不同阴道肌肉情况配置5种型号阴道哑铃，体积从大到小、重量从小到大，可以帮助盆底肌快速恢复本体感觉，诱发盆底肌主动收缩出现，有助于患者根据自身盆底肌恢复情况有选择的进行盆底肌肉训练，科学、有效的提高训练效果，提高盆底肌肉收缩能力。</w:t>
            </w:r>
          </w:p>
        </w:tc>
        <w:tc>
          <w:tcPr>
            <w:tcW w:w="992" w:type="dxa"/>
            <w:vAlign w:val="center"/>
          </w:tcPr>
          <w:p>
            <w:pPr>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一次性使用阴道电极（妇科）</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MLD V1</w:t>
            </w:r>
          </w:p>
        </w:tc>
        <w:tc>
          <w:tcPr>
            <w:tcW w:w="4394" w:type="dxa"/>
          </w:tcPr>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1）电极插孔与对应导电橡胶电极片间导通电阻＜100Ω；</w:t>
            </w:r>
          </w:p>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2）两导电橡胶电极片间绝缘电阻＞10MΩ；</w:t>
            </w:r>
          </w:p>
          <w:p>
            <w:pPr>
              <w:rPr>
                <w:rFonts w:asciiTheme="minorEastAsia" w:hAnsiTheme="minorEastAsia" w:eastAsiaTheme="minorEastAsia"/>
                <w:bCs/>
                <w:color w:val="000000"/>
                <w:sz w:val="24"/>
              </w:rPr>
            </w:pPr>
            <w:r>
              <w:rPr>
                <w:rFonts w:hint="eastAsia" w:asciiTheme="minorEastAsia" w:hAnsiTheme="minorEastAsia" w:eastAsiaTheme="minorEastAsia"/>
                <w:color w:val="000000"/>
                <w:sz w:val="24"/>
              </w:rPr>
              <w:t>3）两导电橡胶电极片间施加交流50Hz、1500V电压历时1min无闪络和击穿。</w:t>
            </w:r>
          </w:p>
        </w:tc>
        <w:tc>
          <w:tcPr>
            <w:tcW w:w="99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阴道电极</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MLD V2</w:t>
            </w:r>
          </w:p>
        </w:tc>
        <w:tc>
          <w:tcPr>
            <w:tcW w:w="4394" w:type="dxa"/>
          </w:tcPr>
          <w:p>
            <w:pPr>
              <w:numPr>
                <w:ilvl w:val="0"/>
                <w:numId w:val="7"/>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T字形结构</w:t>
            </w:r>
          </w:p>
          <w:p>
            <w:pPr>
              <w:numPr>
                <w:ilvl w:val="0"/>
                <w:numId w:val="7"/>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电极长度≥72.5mm,电极直径≥28mm；</w:t>
            </w:r>
          </w:p>
          <w:p>
            <w:pPr>
              <w:numPr>
                <w:ilvl w:val="0"/>
                <w:numId w:val="7"/>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电极插孔与对应不锈钢片间导通电阻小于0.5Ω；</w:t>
            </w:r>
          </w:p>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4）两不锈钢片间绝缘电阻应大于10MΩ；</w:t>
            </w:r>
          </w:p>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5）电解质强度：两不锈钢片间施加1500V电压力时1min无闪络和击穿；</w:t>
            </w:r>
          </w:p>
          <w:p>
            <w:p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6）导电部分尺寸：长度≥44.5mm±5%, 宽度≥19.3mm±5%。</w:t>
            </w:r>
          </w:p>
        </w:tc>
        <w:tc>
          <w:tcPr>
            <w:tcW w:w="992" w:type="dxa"/>
            <w:vAlign w:val="center"/>
          </w:tcPr>
          <w:p>
            <w:pPr>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260/个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9</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盆底肌电生物反馈仪</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RAYEE-A</w:t>
            </w:r>
          </w:p>
        </w:tc>
        <w:tc>
          <w:tcPr>
            <w:tcW w:w="4394" w:type="dxa"/>
          </w:tcPr>
          <w:p>
            <w:pPr>
              <w:numPr>
                <w:ilvl w:val="0"/>
                <w:numId w:val="8"/>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长度：67mm直径：28mm；重量：45g</w:t>
            </w:r>
          </w:p>
          <w:p>
            <w:pPr>
              <w:numPr>
                <w:ilvl w:val="0"/>
                <w:numId w:val="8"/>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材料：基本部分：ABS塑料，导电部分：不锈钢。</w:t>
            </w:r>
          </w:p>
        </w:tc>
        <w:tc>
          <w:tcPr>
            <w:tcW w:w="992" w:type="dxa"/>
            <w:vAlign w:val="center"/>
          </w:tcPr>
          <w:p>
            <w:pPr>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阴道电极</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VET-M</w:t>
            </w:r>
          </w:p>
        </w:tc>
        <w:tc>
          <w:tcPr>
            <w:tcW w:w="4394" w:type="dxa"/>
          </w:tcPr>
          <w:p>
            <w:pPr>
              <w:numPr>
                <w:ilvl w:val="0"/>
                <w:numId w:val="9"/>
              </w:numPr>
              <w:snapToGrid w:val="0"/>
              <w:rPr>
                <w:rFonts w:asciiTheme="minorEastAsia" w:hAnsiTheme="minorEastAsia" w:eastAsiaTheme="minorEastAsia"/>
                <w:sz w:val="24"/>
              </w:rPr>
            </w:pPr>
            <w:r>
              <w:rPr>
                <w:rFonts w:hint="eastAsia" w:asciiTheme="minorEastAsia" w:hAnsiTheme="minorEastAsia" w:eastAsiaTheme="minorEastAsia"/>
                <w:sz w:val="24"/>
              </w:rPr>
              <w:t>长度：72mm，直径：28mm</w:t>
            </w:r>
          </w:p>
          <w:p>
            <w:pPr>
              <w:numPr>
                <w:ilvl w:val="0"/>
                <w:numId w:val="9"/>
              </w:numPr>
              <w:snapToGrid w:val="0"/>
              <w:rPr>
                <w:rFonts w:asciiTheme="minorEastAsia" w:hAnsiTheme="minorEastAsia" w:eastAsiaTheme="minorEastAsia"/>
                <w:color w:val="000000"/>
                <w:sz w:val="24"/>
              </w:rPr>
            </w:pPr>
            <w:r>
              <w:rPr>
                <w:rFonts w:hint="eastAsia" w:asciiTheme="minorEastAsia" w:hAnsiTheme="minorEastAsia" w:eastAsiaTheme="minorEastAsia"/>
                <w:sz w:val="24"/>
              </w:rPr>
              <w:t>电极原材料：塑料基体部分，ABS金属片部分，304不锈钢。</w:t>
            </w:r>
          </w:p>
        </w:tc>
        <w:tc>
          <w:tcPr>
            <w:tcW w:w="992" w:type="dxa"/>
            <w:vAlign w:val="center"/>
          </w:tcPr>
          <w:p>
            <w:pPr>
              <w:snapToGrid w:val="0"/>
              <w:jc w:val="center"/>
              <w:rPr>
                <w:rFonts w:asciiTheme="minorEastAsia" w:hAnsiTheme="minorEastAsia" w:eastAsiaTheme="minorEastAsia"/>
                <w:sz w:val="24"/>
              </w:rPr>
            </w:pPr>
            <w:r>
              <w:rPr>
                <w:rFonts w:hint="eastAsia" w:asciiTheme="minorEastAsia" w:hAnsiTheme="minorEastAsia" w:eastAsiaTheme="minorEastAsia"/>
                <w:sz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11</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一次性套管穿刺器</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5mm,10mm,12mm</w:t>
            </w:r>
          </w:p>
        </w:tc>
        <w:tc>
          <w:tcPr>
            <w:tcW w:w="4394" w:type="dxa"/>
          </w:tcPr>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穿刺器的外表应光滑、圆整、清洁，不应有毛边或毛刺等现象；可视穿刺针针头部分应透明。</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穿刺套管注气阀、阴气阀和气腹针注气阀开闭应灵活，不应有阻塞或卡滞现象。</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olor w:val="000000"/>
                <w:sz w:val="24"/>
              </w:rPr>
              <w:t>气腹针的表面粗糙度Ra值应不大于0.40</w:t>
            </w:r>
            <w:r>
              <w:rPr>
                <w:rFonts w:cs="Calibri" w:asciiTheme="minorEastAsia" w:hAnsiTheme="minorEastAsia" w:eastAsiaTheme="minorEastAsia"/>
                <w:color w:val="000000"/>
                <w:sz w:val="24"/>
              </w:rPr>
              <w:t>µ</w:t>
            </w:r>
            <w:r>
              <w:rPr>
                <w:rFonts w:hint="eastAsia" w:asciiTheme="minorEastAsia" w:hAnsiTheme="minorEastAsia" w:eastAsiaTheme="minorEastAsia" w:cstheme="minorHAnsi"/>
                <w:color w:val="000000"/>
                <w:sz w:val="24"/>
              </w:rPr>
              <w:t>m。</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气腹针管、带保护穿刺针刀片、可视穿刺我针管的耐腐蚀性能，应符合YY/T0149-2006中5.4b级的规定。</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穿刺套管和气腹针的阀体，应具有良好的气密性，经4KPa气压，应无泄露；球囊应有良好的气性，注入一定容积的空气后，无气体泄露。</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球囊注入一定体积的水后，持续4h，球囊应无破裂漏水。</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气腹针锋利度：气腹针头的刃口应锋利，应能顺利穿透2mm厚的硅胶膜。</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穿刺器应无菌。</w:t>
            </w:r>
          </w:p>
          <w:p>
            <w:pPr>
              <w:numPr>
                <w:ilvl w:val="0"/>
                <w:numId w:val="10"/>
              </w:numPr>
              <w:snapToGrid w:val="0"/>
              <w:rPr>
                <w:rFonts w:asciiTheme="minorEastAsia" w:hAnsiTheme="minorEastAsia" w:eastAsiaTheme="minorEastAsia"/>
                <w:color w:val="000000"/>
                <w:sz w:val="24"/>
              </w:rPr>
            </w:pPr>
            <w:r>
              <w:rPr>
                <w:rFonts w:hint="eastAsia" w:asciiTheme="minorEastAsia" w:hAnsiTheme="minorEastAsia" w:eastAsiaTheme="minorEastAsia" w:cstheme="minorHAnsi"/>
                <w:color w:val="000000"/>
                <w:sz w:val="24"/>
              </w:rPr>
              <w:t>穿刺器若用环氧乙烷灭菌，环氧乙烷残留量应</w:t>
            </w:r>
            <w:r>
              <w:rPr>
                <w:rFonts w:hint="eastAsia" w:cs="宋体" w:asciiTheme="minorEastAsia" w:hAnsiTheme="minorEastAsia" w:eastAsiaTheme="minorEastAsia"/>
                <w:color w:val="000000"/>
                <w:sz w:val="24"/>
              </w:rPr>
              <w:t>≦</w:t>
            </w:r>
            <w:r>
              <w:rPr>
                <w:rFonts w:hint="eastAsia" w:asciiTheme="minorEastAsia" w:hAnsiTheme="minorEastAsia" w:eastAsiaTheme="minorEastAsia" w:cstheme="minorHAnsi"/>
                <w:color w:val="000000"/>
                <w:sz w:val="24"/>
              </w:rPr>
              <w:t>10</w:t>
            </w:r>
            <w:r>
              <w:rPr>
                <w:rFonts w:cs="Calibri" w:asciiTheme="minorEastAsia" w:hAnsiTheme="minorEastAsia" w:eastAsiaTheme="minorEastAsia"/>
                <w:color w:val="000000"/>
                <w:sz w:val="24"/>
              </w:rPr>
              <w:t>µ</w:t>
            </w:r>
            <w:r>
              <w:rPr>
                <w:rFonts w:hint="eastAsia" w:asciiTheme="minorEastAsia" w:hAnsiTheme="minorEastAsia" w:eastAsiaTheme="minorEastAsia" w:cstheme="minorHAnsi"/>
                <w:color w:val="000000"/>
                <w:sz w:val="24"/>
              </w:rPr>
              <w:t>g/g。</w:t>
            </w:r>
          </w:p>
        </w:tc>
        <w:tc>
          <w:tcPr>
            <w:tcW w:w="992" w:type="dxa"/>
            <w:vAlign w:val="center"/>
          </w:tcPr>
          <w:p>
            <w:pPr>
              <w:snapToGrid w:val="0"/>
              <w:jc w:val="center"/>
              <w:rPr>
                <w:rFonts w:asciiTheme="minorEastAsia" w:hAnsiTheme="minorEastAsia" w:eastAsiaTheme="minorEastAsia" w:cstheme="minorHAnsi"/>
                <w:color w:val="000000"/>
                <w:sz w:val="24"/>
              </w:rPr>
            </w:pPr>
            <w:r>
              <w:rPr>
                <w:rFonts w:hint="eastAsia" w:asciiTheme="minorEastAsia" w:hAnsiTheme="minorEastAsia" w:eastAsiaTheme="minorEastAsia" w:cstheme="minorHAnsi"/>
                <w:color w:val="000000"/>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12</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犬伤净-弱碱性皮肤粘膜清洗消毒剂</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SDC-JAY250  250ml/袋 36袋/件</w:t>
            </w:r>
          </w:p>
        </w:tc>
        <w:tc>
          <w:tcPr>
            <w:tcW w:w="4394" w:type="dxa"/>
          </w:tcPr>
          <w:p>
            <w:pPr>
              <w:numPr>
                <w:ilvl w:val="0"/>
                <w:numId w:val="11"/>
              </w:numPr>
              <w:snapToGrid w:val="0"/>
              <w:rPr>
                <w:rFonts w:asciiTheme="minorEastAsia" w:hAnsiTheme="minorEastAsia" w:eastAsiaTheme="minorEastAsia" w:cstheme="minorHAnsi"/>
                <w:color w:val="000000"/>
                <w:sz w:val="24"/>
              </w:rPr>
            </w:pPr>
            <w:r>
              <w:rPr>
                <w:rFonts w:hint="eastAsia" w:asciiTheme="minorEastAsia" w:hAnsiTheme="minorEastAsia" w:eastAsiaTheme="minorEastAsia" w:cstheme="minorHAnsi"/>
                <w:color w:val="000000"/>
                <w:sz w:val="24"/>
              </w:rPr>
              <w:t>无异物，无异味，无沉淀（液体产品），符合固有性状。</w:t>
            </w:r>
          </w:p>
          <w:p>
            <w:pPr>
              <w:numPr>
                <w:ilvl w:val="0"/>
                <w:numId w:val="11"/>
              </w:numPr>
              <w:snapToGrid w:val="0"/>
              <w:rPr>
                <w:rFonts w:asciiTheme="minorEastAsia" w:hAnsiTheme="minorEastAsia" w:eastAsiaTheme="minorEastAsia" w:cstheme="minorHAnsi"/>
                <w:color w:val="000000"/>
                <w:sz w:val="24"/>
              </w:rPr>
            </w:pPr>
            <w:r>
              <w:rPr>
                <w:rFonts w:hint="eastAsia" w:asciiTheme="minorEastAsia" w:hAnsiTheme="minorEastAsia" w:eastAsiaTheme="minorEastAsia" w:cstheme="minorHAnsi"/>
                <w:color w:val="000000"/>
                <w:sz w:val="24"/>
              </w:rPr>
              <w:t>PH值：7-9</w:t>
            </w:r>
          </w:p>
          <w:p>
            <w:pPr>
              <w:numPr>
                <w:ilvl w:val="0"/>
                <w:numId w:val="11"/>
              </w:numPr>
              <w:snapToGrid w:val="0"/>
              <w:rPr>
                <w:rFonts w:asciiTheme="minorEastAsia" w:hAnsiTheme="minorEastAsia" w:eastAsiaTheme="minorEastAsia" w:cstheme="minorHAnsi"/>
                <w:color w:val="000000"/>
                <w:sz w:val="24"/>
              </w:rPr>
            </w:pPr>
            <w:r>
              <w:rPr>
                <w:rFonts w:hint="eastAsia" w:asciiTheme="minorEastAsia" w:hAnsiTheme="minorEastAsia" w:eastAsiaTheme="minorEastAsia" w:cstheme="minorHAnsi"/>
                <w:color w:val="000000"/>
                <w:sz w:val="24"/>
              </w:rPr>
              <w:t>杂质限量：铅</w:t>
            </w:r>
            <w:r>
              <w:rPr>
                <w:rFonts w:hint="eastAsia" w:cs="宋体" w:asciiTheme="minorEastAsia" w:hAnsiTheme="minorEastAsia" w:eastAsiaTheme="minorEastAsia"/>
                <w:color w:val="000000"/>
                <w:sz w:val="24"/>
              </w:rPr>
              <w:t>&lt;</w:t>
            </w:r>
            <w:r>
              <w:rPr>
                <w:rFonts w:hint="eastAsia" w:asciiTheme="minorEastAsia" w:hAnsiTheme="minorEastAsia" w:eastAsiaTheme="minorEastAsia" w:cstheme="minorEastAsia"/>
                <w:color w:val="000000"/>
                <w:sz w:val="24"/>
              </w:rPr>
              <w:t>40mg/L；汞</w:t>
            </w:r>
            <w:r>
              <w:rPr>
                <w:rFonts w:hint="eastAsia" w:cs="宋体" w:asciiTheme="minorEastAsia" w:hAnsiTheme="minorEastAsia" w:eastAsiaTheme="minorEastAsia"/>
                <w:color w:val="000000"/>
                <w:sz w:val="24"/>
              </w:rPr>
              <w:t>&lt;1</w:t>
            </w:r>
            <w:r>
              <w:rPr>
                <w:rFonts w:hint="eastAsia" w:asciiTheme="minorEastAsia" w:hAnsiTheme="minorEastAsia" w:eastAsiaTheme="minorEastAsia" w:cstheme="minorEastAsia"/>
                <w:color w:val="000000"/>
                <w:sz w:val="24"/>
              </w:rPr>
              <w:t>mg/L；砷</w:t>
            </w:r>
            <w:r>
              <w:rPr>
                <w:rFonts w:hint="eastAsia" w:cs="宋体" w:asciiTheme="minorEastAsia" w:hAnsiTheme="minorEastAsia" w:eastAsiaTheme="minorEastAsia"/>
                <w:color w:val="000000"/>
                <w:sz w:val="24"/>
              </w:rPr>
              <w:t>&lt;10</w:t>
            </w:r>
            <w:r>
              <w:rPr>
                <w:rFonts w:hint="eastAsia" w:asciiTheme="minorEastAsia" w:hAnsiTheme="minorEastAsia" w:eastAsiaTheme="minorEastAsia" w:cstheme="minorEastAsia"/>
                <w:color w:val="000000"/>
                <w:sz w:val="24"/>
              </w:rPr>
              <w:t>mg/L。</w:t>
            </w:r>
          </w:p>
          <w:p>
            <w:pPr>
              <w:numPr>
                <w:ilvl w:val="0"/>
                <w:numId w:val="11"/>
              </w:numPr>
              <w:snapToGrid w:val="0"/>
              <w:rPr>
                <w:rFonts w:asciiTheme="minorEastAsia" w:hAnsiTheme="minorEastAsia" w:eastAsiaTheme="minorEastAsia" w:cstheme="minorHAnsi"/>
                <w:color w:val="000000"/>
                <w:sz w:val="24"/>
              </w:rPr>
            </w:pPr>
            <w:r>
              <w:rPr>
                <w:rFonts w:hint="eastAsia" w:asciiTheme="minorEastAsia" w:hAnsiTheme="minorEastAsia" w:eastAsiaTheme="minorEastAsia" w:cstheme="minorEastAsia"/>
                <w:color w:val="000000"/>
                <w:sz w:val="24"/>
              </w:rPr>
              <w:t>可杀灭微生物：大肠杆菌、金黄色葡萄球菌、铜绿假单胞菌、白色念珠菌。</w:t>
            </w:r>
          </w:p>
          <w:p>
            <w:pPr>
              <w:numPr>
                <w:ilvl w:val="0"/>
                <w:numId w:val="11"/>
              </w:numPr>
              <w:snapToGrid w:val="0"/>
              <w:rPr>
                <w:rFonts w:asciiTheme="minorEastAsia" w:hAnsiTheme="minorEastAsia" w:eastAsiaTheme="minorEastAsia" w:cstheme="minorHAnsi"/>
                <w:color w:val="000000"/>
                <w:sz w:val="24"/>
              </w:rPr>
            </w:pPr>
            <w:r>
              <w:rPr>
                <w:rFonts w:hint="eastAsia" w:asciiTheme="minorEastAsia" w:hAnsiTheme="minorEastAsia" w:eastAsiaTheme="minorEastAsia" w:cstheme="minorEastAsia"/>
                <w:color w:val="000000"/>
                <w:sz w:val="24"/>
              </w:rPr>
              <w:t>包装袋尺寸为：190*145mm，包装袋接口需满足插入斯汀康医用创口冲洗机配套使用的要求。</w:t>
            </w:r>
          </w:p>
        </w:tc>
        <w:tc>
          <w:tcPr>
            <w:tcW w:w="992" w:type="dxa"/>
            <w:vAlign w:val="center"/>
          </w:tcPr>
          <w:p>
            <w:pPr>
              <w:snapToGrid w:val="0"/>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98/袋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13</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可吸收性外科缝线（胶原蛋白）</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2-0圆针，</w:t>
            </w:r>
          </w:p>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3-0角针，</w:t>
            </w:r>
          </w:p>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2-0角针，</w:t>
            </w:r>
          </w:p>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0圆针，</w:t>
            </w:r>
          </w:p>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4-0角针</w:t>
            </w:r>
          </w:p>
        </w:tc>
        <w:tc>
          <w:tcPr>
            <w:tcW w:w="4394" w:type="dxa"/>
          </w:tcPr>
          <w:p>
            <w:pPr>
              <w:numPr>
                <w:ilvl w:val="0"/>
                <w:numId w:val="12"/>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肠衣中的主要成分是胶原蛋白，线长75cm。</w:t>
            </w:r>
          </w:p>
          <w:p>
            <w:pPr>
              <w:numPr>
                <w:ilvl w:val="0"/>
                <w:numId w:val="12"/>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有11种胶原蛋白类型，结构式为a型，</w:t>
            </w:r>
          </w:p>
          <w:p>
            <w:pPr>
              <w:numPr>
                <w:ilvl w:val="0"/>
                <w:numId w:val="12"/>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平均分子量约为35.4万道尔顿，其中胶原蛋白含量为82.39%，炽灼残渣为1.01/100g</w:t>
            </w:r>
          </w:p>
          <w:p>
            <w:pPr>
              <w:numPr>
                <w:ilvl w:val="0"/>
                <w:numId w:val="12"/>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在人体内经酶解后产生二肽或三肽等低聚物，被人体组织吸收。</w:t>
            </w:r>
          </w:p>
          <w:p>
            <w:pPr>
              <w:rPr>
                <w:rFonts w:cs="宋体" w:asciiTheme="minorEastAsia" w:hAnsiTheme="minorEastAsia" w:eastAsiaTheme="minorEastAsia"/>
                <w:sz w:val="24"/>
              </w:rPr>
            </w:pPr>
            <w:r>
              <w:rPr>
                <w:rFonts w:hint="eastAsia" w:cs="宋体" w:asciiTheme="minorEastAsia" w:hAnsiTheme="minorEastAsia" w:eastAsiaTheme="minorEastAsia"/>
                <w:sz w:val="24"/>
              </w:rPr>
              <w:t>5.缝合针基本材料为3Cr13不锈钢丝。</w:t>
            </w:r>
          </w:p>
        </w:tc>
        <w:tc>
          <w:tcPr>
            <w:tcW w:w="992"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14</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一次性使用齿科器械盒（口腔护理包）</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CKQ-B</w:t>
            </w:r>
          </w:p>
        </w:tc>
        <w:tc>
          <w:tcPr>
            <w:tcW w:w="4394" w:type="dxa"/>
          </w:tcPr>
          <w:p>
            <w:pPr>
              <w:numPr>
                <w:ilvl w:val="0"/>
                <w:numId w:val="13"/>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一次性使用环氧乙烷灭菌。</w:t>
            </w:r>
          </w:p>
          <w:p>
            <w:pPr>
              <w:numPr>
                <w:ilvl w:val="0"/>
                <w:numId w:val="13"/>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产品性能：无菌。</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一次性使用集尿器（集尿袋）</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B-1300ml</w:t>
            </w:r>
          </w:p>
        </w:tc>
        <w:tc>
          <w:tcPr>
            <w:tcW w:w="4394" w:type="dxa"/>
          </w:tcPr>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采用透明ABS塑料制造。</w:t>
            </w:r>
          </w:p>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外表光洁，透明度保证能看清尿液。</w:t>
            </w:r>
          </w:p>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容量勿差不大于标示值的±10%。</w:t>
            </w:r>
          </w:p>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吊挂件能承受20N的静态轴向拉力，持续24小时无断裂和脱落。</w:t>
            </w:r>
          </w:p>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瓶体、尿袋内各盛50%的水时，从0.5米高处自由跌至水泥地上，不会发生开裂或破漏现象。</w:t>
            </w:r>
          </w:p>
          <w:p>
            <w:pPr>
              <w:numPr>
                <w:ilvl w:val="0"/>
                <w:numId w:val="14"/>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环氧乙烷消毒，灭活指数达到10立方。</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16</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一次性使用治疗巾</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B60*50</w:t>
            </w:r>
          </w:p>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B50*40</w:t>
            </w:r>
          </w:p>
        </w:tc>
        <w:tc>
          <w:tcPr>
            <w:tcW w:w="4394" w:type="dxa"/>
          </w:tcPr>
          <w:p>
            <w:pPr>
              <w:numPr>
                <w:ilvl w:val="0"/>
                <w:numId w:val="15"/>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规格：60*50，40*50</w:t>
            </w:r>
          </w:p>
          <w:p>
            <w:pPr>
              <w:numPr>
                <w:ilvl w:val="0"/>
                <w:numId w:val="15"/>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45g无纺布，蓝色覆膜</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17</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医用丁腈检查手套</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中号</w:t>
            </w:r>
          </w:p>
        </w:tc>
        <w:tc>
          <w:tcPr>
            <w:tcW w:w="4394" w:type="dxa"/>
          </w:tcPr>
          <w:p>
            <w:pPr>
              <w:numPr>
                <w:ilvl w:val="0"/>
                <w:numId w:val="16"/>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采用丁腈胶乳制造。</w:t>
            </w:r>
          </w:p>
          <w:p>
            <w:pPr>
              <w:numPr>
                <w:ilvl w:val="0"/>
                <w:numId w:val="16"/>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有足够的强度和阻隔性能。</w:t>
            </w:r>
          </w:p>
          <w:p>
            <w:pPr>
              <w:numPr>
                <w:ilvl w:val="0"/>
                <w:numId w:val="16"/>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非无菌提供，一次性使用。</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18</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心电图记录纸</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210*140-20m</w:t>
            </w:r>
          </w:p>
        </w:tc>
        <w:tc>
          <w:tcPr>
            <w:tcW w:w="4394" w:type="dxa"/>
          </w:tcPr>
          <w:p>
            <w:pPr>
              <w:numPr>
                <w:ilvl w:val="0"/>
                <w:numId w:val="17"/>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适用机型：光电（9130/9110/1350）</w:t>
            </w:r>
          </w:p>
          <w:p>
            <w:pPr>
              <w:numPr>
                <w:ilvl w:val="0"/>
                <w:numId w:val="17"/>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有格。</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19</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叶片成人型-视频喉镜配套使用</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L=120mm,B=27mm</w:t>
            </w:r>
          </w:p>
        </w:tc>
        <w:tc>
          <w:tcPr>
            <w:tcW w:w="4394" w:type="dxa"/>
          </w:tcPr>
          <w:p>
            <w:pPr>
              <w:numPr>
                <w:ilvl w:val="0"/>
                <w:numId w:val="18"/>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叶片表面粗糙度不大于无光亮0.8</w:t>
            </w:r>
            <w:r>
              <w:rPr>
                <w:rFonts w:cs="Calibri" w:asciiTheme="minorEastAsia" w:hAnsiTheme="minorEastAsia" w:eastAsiaTheme="minorEastAsia"/>
                <w:sz w:val="24"/>
              </w:rPr>
              <w:t>µ</w:t>
            </w:r>
            <w:r>
              <w:rPr>
                <w:rFonts w:hint="eastAsia" w:cs="宋体" w:asciiTheme="minorEastAsia" w:hAnsiTheme="minorEastAsia" w:eastAsiaTheme="minorEastAsia"/>
                <w:sz w:val="24"/>
              </w:rPr>
              <w:t>m。</w:t>
            </w:r>
          </w:p>
          <w:p>
            <w:pPr>
              <w:numPr>
                <w:ilvl w:val="0"/>
                <w:numId w:val="18"/>
              </w:numPr>
              <w:snapToGrid w:val="0"/>
              <w:rPr>
                <w:rFonts w:cs="宋体" w:asciiTheme="minorEastAsia" w:hAnsiTheme="minorEastAsia" w:eastAsiaTheme="minorEastAsia"/>
                <w:sz w:val="24"/>
              </w:rPr>
            </w:pPr>
            <w:r>
              <w:rPr>
                <w:rFonts w:hint="eastAsia" w:cs="宋体" w:asciiTheme="minorEastAsia" w:hAnsiTheme="minorEastAsia" w:eastAsiaTheme="minorEastAsia"/>
                <w:sz w:val="24"/>
              </w:rPr>
              <w:t>喉镜光源的照度不小于100Lux。</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持针器（钳）</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钳头22cm</w:t>
            </w:r>
          </w:p>
        </w:tc>
        <w:tc>
          <w:tcPr>
            <w:tcW w:w="4394" w:type="dxa"/>
          </w:tcPr>
          <w:p>
            <w:p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采用医用不锈钢材料制成。</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21</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组织剪</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20cm</w:t>
            </w:r>
          </w:p>
        </w:tc>
        <w:tc>
          <w:tcPr>
            <w:tcW w:w="4394" w:type="dxa"/>
          </w:tcPr>
          <w:p>
            <w:pPr>
              <w:snapToGrid w:val="0"/>
              <w:rPr>
                <w:rFonts w:cs="宋体" w:asciiTheme="minorEastAsia" w:hAnsiTheme="minorEastAsia" w:eastAsiaTheme="minorEastAsia"/>
                <w:sz w:val="24"/>
              </w:rPr>
            </w:pPr>
            <w:r>
              <w:rPr>
                <w:rFonts w:hint="eastAsia" w:cs="宋体" w:asciiTheme="minorEastAsia" w:hAnsiTheme="minorEastAsia" w:eastAsiaTheme="minorEastAsia"/>
                <w:sz w:val="24"/>
              </w:rPr>
              <w:t>采用医用不锈钢材料制成</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22</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单极电凝线</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4*3000</w:t>
            </w:r>
          </w:p>
        </w:tc>
        <w:tc>
          <w:tcPr>
            <w:tcW w:w="4394" w:type="dxa"/>
          </w:tcPr>
          <w:p>
            <w:pPr>
              <w:snapToGrid w:val="0"/>
              <w:rPr>
                <w:rFonts w:cs="宋体" w:asciiTheme="minorEastAsia" w:hAnsiTheme="minorEastAsia" w:eastAsiaTheme="minorEastAsia"/>
                <w:sz w:val="24"/>
              </w:rPr>
            </w:pPr>
            <w:r>
              <w:rPr>
                <w:rFonts w:hint="eastAsia" w:cs="宋体" w:asciiTheme="minorEastAsia" w:hAnsiTheme="minorEastAsia" w:eastAsiaTheme="minorEastAsia"/>
                <w:sz w:val="24"/>
              </w:rPr>
              <w:t>规格：4*3000mm，适配内窥镜用高频手术器。</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23</w:t>
            </w:r>
          </w:p>
        </w:tc>
        <w:tc>
          <w:tcPr>
            <w:tcW w:w="1275"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宫腔镜及其手术配套器械（剪刀、活检钳）</w:t>
            </w:r>
          </w:p>
        </w:tc>
        <w:tc>
          <w:tcPr>
            <w:tcW w:w="1560" w:type="dxa"/>
            <w:vAlign w:val="center"/>
          </w:tcPr>
          <w:p>
            <w:pPr>
              <w:widowControl/>
              <w:jc w:val="center"/>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F6*410</w:t>
            </w:r>
          </w:p>
        </w:tc>
        <w:tc>
          <w:tcPr>
            <w:tcW w:w="4394" w:type="dxa"/>
          </w:tcPr>
          <w:p>
            <w:pPr>
              <w:snapToGrid w:val="0"/>
              <w:rPr>
                <w:rFonts w:cs="宋体" w:asciiTheme="minorEastAsia" w:hAnsiTheme="minorEastAsia" w:eastAsiaTheme="minorEastAsia"/>
                <w:sz w:val="24"/>
              </w:rPr>
            </w:pPr>
            <w:r>
              <w:rPr>
                <w:rFonts w:hint="eastAsia" w:cs="宋体" w:asciiTheme="minorEastAsia" w:hAnsiTheme="minorEastAsia" w:eastAsiaTheme="minorEastAsia"/>
                <w:sz w:val="24"/>
              </w:rPr>
              <w:t>规格：F6*410</w:t>
            </w:r>
          </w:p>
        </w:tc>
        <w:tc>
          <w:tcPr>
            <w:tcW w:w="992" w:type="dxa"/>
            <w:vAlign w:val="center"/>
          </w:tcPr>
          <w:p>
            <w:pPr>
              <w:snapToGri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1480</w:t>
            </w:r>
          </w:p>
        </w:tc>
      </w:tr>
    </w:tbl>
    <w:p>
      <w:pPr>
        <w:rPr>
          <w:sz w:val="28"/>
        </w:rPr>
      </w:pPr>
    </w:p>
    <w:p>
      <w:r>
        <w:rPr>
          <w:rFonts w:hint="eastAsia"/>
          <w:sz w:val="28"/>
        </w:rPr>
        <w:t>第二十包：</w:t>
      </w:r>
    </w:p>
    <w:tbl>
      <w:tblPr>
        <w:tblStyle w:val="24"/>
        <w:tblW w:w="5328" w:type="pct"/>
        <w:tblInd w:w="-176" w:type="dxa"/>
        <w:tblLayout w:type="fixed"/>
        <w:tblCellMar>
          <w:top w:w="0" w:type="dxa"/>
          <w:left w:w="108" w:type="dxa"/>
          <w:bottom w:w="0" w:type="dxa"/>
          <w:right w:w="108" w:type="dxa"/>
        </w:tblCellMar>
      </w:tblPr>
      <w:tblGrid>
        <w:gridCol w:w="709"/>
        <w:gridCol w:w="1277"/>
        <w:gridCol w:w="1560"/>
        <w:gridCol w:w="4393"/>
        <w:gridCol w:w="1133"/>
        <w:gridCol w:w="9"/>
      </w:tblGrid>
      <w:tr>
        <w:tblPrEx>
          <w:tblCellMar>
            <w:top w:w="0" w:type="dxa"/>
            <w:left w:w="108" w:type="dxa"/>
            <w:bottom w:w="0" w:type="dxa"/>
            <w:right w:w="108" w:type="dxa"/>
          </w:tblCellMar>
        </w:tblPrEx>
        <w:trPr>
          <w:trHeight w:val="285" w:hRule="atLeast"/>
        </w:trPr>
        <w:tc>
          <w:tcPr>
            <w:tcW w:w="3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5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41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62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90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理疗用电极（ 肺炎）</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SI-DT-001 2片/包 200包/件</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1、产品与中低频设备配套适用；2、理疗用电极由无纺布、导电铝箔、泡棉止水圈和泡棉组成。3、无纺布尺寸：长度：80mm,宽度：80mm  允差：±5mm。4、导电铝箔表面应平整，厚度0.05mm 允差：±0.015mm，阻值≤5Ω 允差：±0.05Ω。5、泡棉直径：Φ42mm 允差：±3mm。</w:t>
            </w:r>
          </w:p>
        </w:tc>
        <w:tc>
          <w:tcPr>
            <w:tcW w:w="629" w:type="pct"/>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33/片</w:t>
            </w:r>
          </w:p>
        </w:tc>
      </w:tr>
      <w:tr>
        <w:tblPrEx>
          <w:tblCellMar>
            <w:top w:w="0" w:type="dxa"/>
            <w:left w:w="108" w:type="dxa"/>
            <w:bottom w:w="0" w:type="dxa"/>
            <w:right w:w="108" w:type="dxa"/>
          </w:tblCellMar>
        </w:tblPrEx>
        <w:trPr>
          <w:trHeight w:val="416"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理疗用电极（腹泻）</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 xml:space="preserve">SI-DT-001  ZLD-001 80*80mm  2片/包 200包/件  </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1、产品与中低频设备配套适用；2、理疗用电极由无纺布、导电铝箔、泡棉止水圈和泡棉组成。3、无纺布尺寸：长度：80mm,宽度：80mm  允差：±5mm。4、导电铝箔表面应平整，厚度0.05mm 允差：±0.015mm，阻值≤5Ω 允差：±0.05Ω。5、泡棉直径：Φ42mm 允差：±3mm。</w:t>
            </w:r>
          </w:p>
        </w:tc>
        <w:tc>
          <w:tcPr>
            <w:tcW w:w="629" w:type="pct"/>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33/片</w:t>
            </w:r>
          </w:p>
        </w:tc>
      </w:tr>
      <w:tr>
        <w:tblPrEx>
          <w:tblCellMar>
            <w:top w:w="0" w:type="dxa"/>
            <w:left w:w="108" w:type="dxa"/>
            <w:bottom w:w="0" w:type="dxa"/>
            <w:right w:w="108" w:type="dxa"/>
          </w:tblCellMar>
        </w:tblPrEx>
        <w:trPr>
          <w:gridAfter w:val="1"/>
          <w:wAfter w:w="5" w:type="pct"/>
          <w:trHeight w:val="27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一次性双极射频等离子体手术电极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MC303/303A1 止血</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1、做耳鼻喉手术专用电极；2、适配我院现有设备；3、止血用；</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1800</w:t>
            </w:r>
          </w:p>
        </w:tc>
      </w:tr>
      <w:tr>
        <w:tblPrEx>
          <w:tblCellMar>
            <w:top w:w="0" w:type="dxa"/>
            <w:left w:w="108" w:type="dxa"/>
            <w:bottom w:w="0" w:type="dxa"/>
            <w:right w:w="108" w:type="dxa"/>
          </w:tblCellMar>
        </w:tblPrEx>
        <w:trPr>
          <w:gridAfter w:val="1"/>
          <w:wAfter w:w="5" w:type="pct"/>
          <w:trHeight w:val="27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一次性双极射频等离子体手术电极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MC305鼻甲/A4845</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1、做耳鼻喉手术专用电极；2、适配我院现有设备 ；3、鼻甲或软腭打孔；</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1800</w:t>
            </w:r>
          </w:p>
        </w:tc>
      </w:tr>
      <w:tr>
        <w:tblPrEx>
          <w:tblCellMar>
            <w:top w:w="0" w:type="dxa"/>
            <w:left w:w="108" w:type="dxa"/>
            <w:bottom w:w="0" w:type="dxa"/>
            <w:right w:w="108" w:type="dxa"/>
          </w:tblCellMar>
        </w:tblPrEx>
        <w:trPr>
          <w:gridAfter w:val="1"/>
          <w:wAfter w:w="5" w:type="pct"/>
          <w:trHeight w:val="27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一次性双极射频等离子体手术电极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MC307鼻颅底/A8872</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1、做耳鼻喉手术专用电极；2、适配我院现有设备；3、鼻颅底手术用；</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3800</w:t>
            </w:r>
          </w:p>
        </w:tc>
      </w:tr>
      <w:tr>
        <w:tblPrEx>
          <w:tblCellMar>
            <w:top w:w="0" w:type="dxa"/>
            <w:left w:w="108" w:type="dxa"/>
            <w:bottom w:w="0" w:type="dxa"/>
            <w:right w:w="108" w:type="dxa"/>
          </w:tblCellMar>
        </w:tblPrEx>
        <w:trPr>
          <w:gridAfter w:val="1"/>
          <w:wAfter w:w="5" w:type="pct"/>
          <w:trHeight w:val="27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一次性双极射频等离子体手术电极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MC307喉部/A7171</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1、做耳鼻喉手术专用电极；2、适配我院现有设备；3、喉部手术用；</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3800</w:t>
            </w:r>
          </w:p>
        </w:tc>
      </w:tr>
      <w:tr>
        <w:tblPrEx>
          <w:tblCellMar>
            <w:top w:w="0" w:type="dxa"/>
            <w:left w:w="108" w:type="dxa"/>
            <w:bottom w:w="0" w:type="dxa"/>
            <w:right w:w="108" w:type="dxa"/>
          </w:tblCellMar>
        </w:tblPrEx>
        <w:trPr>
          <w:gridAfter w:val="1"/>
          <w:wAfter w:w="5" w:type="pct"/>
          <w:trHeight w:val="27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一次性双极射频等离子体手术电极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MC402扁桃体/A8872N  MC402/A5874</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1、做耳鼻喉手术专用电极；2、适配我院现有设备；3、扁桃体切割；</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2800</w:t>
            </w:r>
          </w:p>
        </w:tc>
      </w:tr>
      <w:tr>
        <w:tblPrEx>
          <w:tblCellMar>
            <w:top w:w="0" w:type="dxa"/>
            <w:left w:w="108" w:type="dxa"/>
            <w:bottom w:w="0" w:type="dxa"/>
            <w:right w:w="108" w:type="dxa"/>
          </w:tblCellMar>
        </w:tblPrEx>
        <w:trPr>
          <w:gridAfter w:val="1"/>
          <w:wAfter w:w="5" w:type="pct"/>
          <w:trHeight w:val="45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导管固定贴</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A型9.0*3.5cm 25片/盒</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1、供固定医用导管用。2、减少插管滑脱意外及相关并发症。3、使用简便，固定牢靠，减少护理负担。</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28.9</w:t>
            </w:r>
          </w:p>
        </w:tc>
      </w:tr>
      <w:tr>
        <w:tblPrEx>
          <w:tblCellMar>
            <w:top w:w="0" w:type="dxa"/>
            <w:left w:w="108" w:type="dxa"/>
            <w:bottom w:w="0" w:type="dxa"/>
            <w:right w:w="108" w:type="dxa"/>
          </w:tblCellMar>
        </w:tblPrEx>
        <w:trPr>
          <w:gridAfter w:val="1"/>
          <w:wAfter w:w="5" w:type="pct"/>
          <w:trHeight w:val="1125"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生物光素一次性使用功能性医用敷料</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9*20cm</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用于各类手术切口、创伤切口及各种修复类伤口、炎症伤口，具有吸附、消炎、抗菌、止痛、促进伤口愈合、减小瘢痕形成的作用。2、采用医用无纺布(聚氨酯膜)材料制成，在基底中加入远红外及生物光素、甲壳素、珍珠粉、二氧化硅等生物复合医用材料，能发出与人体红外波长相近的红外光。3、该产品为无菌。</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230</w:t>
            </w:r>
          </w:p>
        </w:tc>
      </w:tr>
      <w:tr>
        <w:tblPrEx>
          <w:tblCellMar>
            <w:top w:w="0" w:type="dxa"/>
            <w:left w:w="108" w:type="dxa"/>
            <w:bottom w:w="0" w:type="dxa"/>
            <w:right w:w="108" w:type="dxa"/>
          </w:tblCellMar>
        </w:tblPrEx>
        <w:trPr>
          <w:gridAfter w:val="1"/>
          <w:wAfter w:w="5" w:type="pct"/>
          <w:trHeight w:val="450"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电刀清洁片</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50片/盒</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1、适用范围：供临床心电电极和普通器械的清洁。2、产品由基层、抛光磨料、压敏胶、隔离纸等组成。</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gridAfter w:val="1"/>
          <w:wAfter w:w="5" w:type="pct"/>
          <w:trHeight w:val="675"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消融电极（伸缩电极）</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OBS-DT-0095s</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1、适用于肠胃及心胸外科手术，可与我院各种型号的高频电刀主机配套使用。2、刀头可自由伸缩至理想长度，方便操作。3、防水结构的设计使电击的危险降到最低。4、一次性使用。</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gridAfter w:val="1"/>
          <w:wAfter w:w="5" w:type="pct"/>
          <w:trHeight w:val="675" w:hRule="atLeast"/>
        </w:trPr>
        <w:tc>
          <w:tcPr>
            <w:tcW w:w="39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03"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消融电极（吸刮刀笔）</w:t>
            </w:r>
          </w:p>
        </w:tc>
        <w:tc>
          <w:tcPr>
            <w:tcW w:w="85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OBS-DS-0065S</w:t>
            </w:r>
          </w:p>
        </w:tc>
        <w:tc>
          <w:tcPr>
            <w:tcW w:w="241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1、吸烟、吸液双重功能，使用电切、电凝功能时刀头伸出吸引管，使用吸引功能时，刀头缩入吸引管内。2、防水结构的设计使电击的危险降到最低。3、一次性使用。</w:t>
            </w: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w:t>
            </w:r>
          </w:p>
        </w:tc>
      </w:tr>
    </w:tbl>
    <w:p/>
    <w:p>
      <w:pPr>
        <w:rPr>
          <w:sz w:val="28"/>
        </w:rPr>
      </w:pPr>
      <w:r>
        <w:rPr>
          <w:rFonts w:hint="eastAsia"/>
          <w:sz w:val="28"/>
        </w:rPr>
        <w:t>第二十一包：</w:t>
      </w:r>
    </w:p>
    <w:tbl>
      <w:tblPr>
        <w:tblStyle w:val="24"/>
        <w:tblW w:w="5323" w:type="pct"/>
        <w:tblInd w:w="-176" w:type="dxa"/>
        <w:tblLayout w:type="fixed"/>
        <w:tblCellMar>
          <w:top w:w="0" w:type="dxa"/>
          <w:left w:w="108" w:type="dxa"/>
          <w:bottom w:w="0" w:type="dxa"/>
          <w:right w:w="108" w:type="dxa"/>
        </w:tblCellMar>
      </w:tblPr>
      <w:tblGrid>
        <w:gridCol w:w="709"/>
        <w:gridCol w:w="1276"/>
        <w:gridCol w:w="1561"/>
        <w:gridCol w:w="4393"/>
        <w:gridCol w:w="1134"/>
      </w:tblGrid>
      <w:tr>
        <w:tblPrEx>
          <w:tblCellMar>
            <w:top w:w="0" w:type="dxa"/>
            <w:left w:w="108" w:type="dxa"/>
            <w:bottom w:w="0" w:type="dxa"/>
            <w:right w:w="108" w:type="dxa"/>
          </w:tblCellMar>
        </w:tblPrEx>
        <w:trPr>
          <w:trHeight w:val="285" w:hRule="atLeast"/>
        </w:trPr>
        <w:tc>
          <w:tcPr>
            <w:tcW w:w="391"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03"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60"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421"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625"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1620" w:hRule="atLeast"/>
        </w:trPr>
        <w:tc>
          <w:tcPr>
            <w:tcW w:w="3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J型导管</w:t>
            </w:r>
          </w:p>
        </w:tc>
        <w:tc>
          <w:tcPr>
            <w:tcW w:w="86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双J（F4、F4.8、F5、F6、F7、F8、F9、F0）、单J（F4、F4.8、F5、F6、F7、F8、F9 、F10、F12、F14、F16、F18）</w:t>
            </w:r>
          </w:p>
        </w:tc>
        <w:tc>
          <w:tcPr>
            <w:tcW w:w="24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J型导管可包含接头、夹子、导丝、推管等组件。导管采用医用聚氨酯制成；夹子、推管由医用聚乙烯制成，导丝由医用级不锈钢丝制成。导管在X光等电透设备下应能显影。J型导管采用环氧乙烷灭菌，其环氧乙烷残留量不大于10ug/g。</w:t>
            </w:r>
          </w:p>
        </w:tc>
        <w:tc>
          <w:tcPr>
            <w:tcW w:w="6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960</w:t>
            </w:r>
          </w:p>
        </w:tc>
      </w:tr>
      <w:tr>
        <w:tblPrEx>
          <w:tblCellMar>
            <w:top w:w="0" w:type="dxa"/>
            <w:left w:w="108" w:type="dxa"/>
            <w:bottom w:w="0" w:type="dxa"/>
            <w:right w:w="108" w:type="dxa"/>
          </w:tblCellMar>
        </w:tblPrEx>
        <w:trPr>
          <w:trHeight w:val="108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输尿管导管</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 xml:space="preserve">F3、F4、F5、F6、F7、F8、F9、F10、F12、F14  </w:t>
            </w:r>
          </w:p>
        </w:tc>
        <w:tc>
          <w:tcPr>
            <w:tcW w:w="242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本品由导管、不锈钢丝组成。导管采用聚氯乙烯原材料，不锈钢丝采用1Cr18Ni9Ti或与之性能相当的其他不锈钢丝制成。产品为无菌供应。</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135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输尿管支架导管及套装</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闭口行4.5ch-8ch（ 28cm-32cm）、开口型4.5ch-9ch（26cm-30cm）、术中型6ch-8ch（28cm-32cm）、两端开口4.5ch-8ch（ 28cm-32cm）</w:t>
            </w:r>
          </w:p>
        </w:tc>
        <w:tc>
          <w:tcPr>
            <w:tcW w:w="242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该组件为输尿管支架导管，附件有推进器、预留线和固定夹，各组件材质详见产品技术要求。产品为无菌包装（环氧乙烷灭菌），为一次性用品。</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1580</w:t>
            </w:r>
          </w:p>
        </w:tc>
      </w:tr>
      <w:tr>
        <w:tblPrEx>
          <w:tblCellMar>
            <w:top w:w="0" w:type="dxa"/>
            <w:left w:w="108" w:type="dxa"/>
            <w:bottom w:w="0" w:type="dxa"/>
            <w:right w:w="108" w:type="dxa"/>
          </w:tblCellMar>
        </w:tblPrEx>
        <w:trPr>
          <w:trHeight w:val="189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微创扩张引流套件（泌尿）</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F6、F8、F10、F12、F14、F16、F8、F20、F22、F24、F26、F28、F30（选配件：导引针：16G-22G 导丝：0.028’’-0.038’’）</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微创扩张引流套件组件由扩张管KZ、剥皮鞘型BP和引流管YL组成，扩张管型主要由扩张管、接头组成，剥皮鞘型主要由鞘管、接头组成，引流管由引流管、矫直管、接头组成。各种形式扩张管套件可以单个或多个组成一套， 选用配件有导引针DY规格：（16G、18G、20G、22G）和导丝DS规格：（0.028’’、0.032’’、0.035’’、0.038’’）二种。</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1960</w:t>
            </w:r>
          </w:p>
        </w:tc>
      </w:tr>
      <w:tr>
        <w:tblPrEx>
          <w:tblCellMar>
            <w:top w:w="0" w:type="dxa"/>
            <w:left w:w="108" w:type="dxa"/>
            <w:bottom w:w="0" w:type="dxa"/>
            <w:right w:w="108" w:type="dxa"/>
          </w:tblCellMar>
        </w:tblPrEx>
        <w:trPr>
          <w:trHeight w:val="285"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一次性使用膀胱冲洗器（一次性冲洗管</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由穿刺器、保护套、连接管、管道夹、管路、滴斗、流量调节器、导管连接器组成。经钴</w:t>
            </w:r>
            <w:r>
              <w:rPr>
                <w:rFonts w:cs="Calibri" w:asciiTheme="minorEastAsia" w:hAnsiTheme="minorEastAsia"/>
                <w:color w:val="000000"/>
                <w:kern w:val="0"/>
                <w:sz w:val="24"/>
              </w:rPr>
              <w:t>-60</w:t>
            </w:r>
            <w:r>
              <w:rPr>
                <w:rFonts w:hint="eastAsia" w:cs="宋体" w:asciiTheme="minorEastAsia" w:hAnsiTheme="minorEastAsia"/>
                <w:color w:val="000000"/>
                <w:kern w:val="0"/>
                <w:sz w:val="24"/>
              </w:rPr>
              <w:t>灭菌，产品无菌。</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135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一次性使用非血管腔道导丝（斑马导丝）</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M1-100（0.018in-0.038in）、M2-150（0.018in-0.038in）、X1-180（0.018in-0.038in）、X2-260（0.018in-0.038in）、X3-450（0.018in-0.038in）</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腔体导丝由软头、内芯和包塑层组成。腔道导丝的软头由06Cr19Ni10牌号的奥氏体不锈钢制成；内芯由钛镍合金制成；包塑层由聚四氟乙烯（PTFE）制成。</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1282</w:t>
            </w:r>
          </w:p>
        </w:tc>
      </w:tr>
      <w:tr>
        <w:tblPrEx>
          <w:tblCellMar>
            <w:top w:w="0" w:type="dxa"/>
            <w:left w:w="108" w:type="dxa"/>
            <w:bottom w:w="0" w:type="dxa"/>
            <w:right w:w="108" w:type="dxa"/>
          </w:tblCellMar>
        </w:tblPrEx>
        <w:trPr>
          <w:trHeight w:val="54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一次性使用硅胶导尿管(二腔）</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二腔标准型、二腔妇女用、二腔儿童用、二腔开口、规格：6Fr、8Fr、10Fr、12Fr、14Fr、16Fr、18Fr、20Fr、22Fr、24Fr、26Fr、28Fr</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40</w:t>
            </w:r>
          </w:p>
        </w:tc>
      </w:tr>
      <w:tr>
        <w:tblPrEx>
          <w:tblCellMar>
            <w:top w:w="0" w:type="dxa"/>
            <w:left w:w="108" w:type="dxa"/>
            <w:bottom w:w="0" w:type="dxa"/>
            <w:right w:w="108" w:type="dxa"/>
          </w:tblCellMar>
        </w:tblPrEx>
        <w:trPr>
          <w:trHeight w:val="27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0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一次性使用硅胶导尿管（三腔）</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三腔标准型、三腔妇女、三腔儿童用、三腔开口型、三腔限制性测球囊</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w:t>
            </w:r>
          </w:p>
        </w:tc>
      </w:tr>
      <w:tr>
        <w:tblPrEx>
          <w:tblCellMar>
            <w:top w:w="0" w:type="dxa"/>
            <w:left w:w="108" w:type="dxa"/>
            <w:bottom w:w="0" w:type="dxa"/>
            <w:right w:w="108" w:type="dxa"/>
          </w:tblCellMar>
        </w:tblPrEx>
        <w:trPr>
          <w:trHeight w:val="135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一次性使用内窥镜取石蓝</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导入鞘型（DRQ）（10/12Fr、11/13Fr、12/14Fr、13/15Fr、14/16Fr、15/17Fr、16/18Fr）取石篮型（QSL）（1.7Fr、1.8Fr、2.2Fr、2.4Fr、2.8Fr、3.0Fr、3.2Fr、4.0Fr、4.5Fr</w:t>
            </w:r>
            <w:r>
              <w:rPr>
                <w:rFonts w:cs="宋体" w:asciiTheme="minorEastAsia" w:hAnsiTheme="minorEastAsia"/>
                <w:color w:val="000000"/>
                <w:kern w:val="0"/>
                <w:sz w:val="24"/>
              </w:rPr>
              <w:t xml:space="preserve"> </w:t>
            </w:r>
          </w:p>
        </w:tc>
        <w:tc>
          <w:tcPr>
            <w:tcW w:w="242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一次性使用输尿管软镜取石套件分导入鞘型、取石篮型。导入鞘型由扩张管（尼龙）、鞘接头（尼龙）、鞘接头（尼龙）、鞘体（尼龙、特氟龙）制成，取石篮型由控制手柄（聚酰亚胺）、管体（聚酰亚胺）、网篮（镍钛合金丝）制成。主要性能：各连接处应能承受15N的静拉力持续10S，应无断裂和脱离现象。产品无菌提供。</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2680</w:t>
            </w:r>
          </w:p>
        </w:tc>
      </w:tr>
      <w:tr>
        <w:tblPrEx>
          <w:tblCellMar>
            <w:top w:w="0" w:type="dxa"/>
            <w:left w:w="108" w:type="dxa"/>
            <w:bottom w:w="0" w:type="dxa"/>
            <w:right w:w="108" w:type="dxa"/>
          </w:tblCellMar>
        </w:tblPrEx>
        <w:trPr>
          <w:trHeight w:val="810"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一次性使用尿动力导管(套装）</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组合型：205-06A-12A、测压型：205-06B-12B、连接型：205-06C-12C由测压管和连接管组成。</w:t>
            </w:r>
          </w:p>
        </w:tc>
        <w:tc>
          <w:tcPr>
            <w:tcW w:w="242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测压管由接头、连接管和管体组成，连接管由管体和锁定接头组成。</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983"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一次性使用微创扩张引流套件（经皮肾穿刺扩张引流型）</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经皮肾穿刺扩张引流管（单根装）：203-01-（10A-22A）、经皮肾穿刺扩张引流型（组合复合装）：203-02-（16B-22B）、腔镜手术器械植入型：203-01-（10C-14C）。</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扩张管由不透X线的聚乙烯（PE）制成。可移动定位圈由硅胶制成。套管由聚乙烯（PE）或聚四氟乙烯（PTFE）制成。导引针的针管采用06Cr19Ni10牌号奥氏体不锈钢制成，针座采用聚丙烯（PP）制成。导丝由奥式体不锈钢制成。肾造瘘引流管的管体采用硅胶或聚氨酯（PU）制成，尖端采用聚氨酯（PU）制成。</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2100</w:t>
            </w:r>
          </w:p>
        </w:tc>
      </w:tr>
      <w:tr>
        <w:tblPrEx>
          <w:tblCellMar>
            <w:top w:w="0" w:type="dxa"/>
            <w:left w:w="108" w:type="dxa"/>
            <w:bottom w:w="0" w:type="dxa"/>
            <w:right w:w="108" w:type="dxa"/>
          </w:tblCellMar>
        </w:tblPrEx>
        <w:trPr>
          <w:trHeight w:val="285"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0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医用激光光纤</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由激光装置连接头、光线传输体、治疗头、套管、弯曲保护套及保护帽组成。</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8800</w:t>
            </w:r>
          </w:p>
        </w:tc>
      </w:tr>
      <w:tr>
        <w:tblPrEx>
          <w:tblCellMar>
            <w:top w:w="0" w:type="dxa"/>
            <w:left w:w="108" w:type="dxa"/>
            <w:bottom w:w="0" w:type="dxa"/>
            <w:right w:w="108" w:type="dxa"/>
          </w:tblCellMar>
        </w:tblPrEx>
        <w:trPr>
          <w:trHeight w:val="285"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0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专用双极电极（泌尿）</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规格型号</w:t>
            </w:r>
            <w:r>
              <w:rPr>
                <w:rFonts w:cs="Calibri" w:asciiTheme="minorEastAsia" w:hAnsiTheme="minorEastAsia"/>
                <w:color w:val="000000"/>
                <w:kern w:val="0"/>
                <w:sz w:val="24"/>
              </w:rPr>
              <w:t>SM8200-SM9400</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2800</w:t>
            </w:r>
          </w:p>
        </w:tc>
      </w:tr>
      <w:tr>
        <w:tblPrEx>
          <w:tblCellMar>
            <w:top w:w="0" w:type="dxa"/>
            <w:left w:w="108" w:type="dxa"/>
            <w:bottom w:w="0" w:type="dxa"/>
            <w:right w:w="108" w:type="dxa"/>
          </w:tblCellMar>
        </w:tblPrEx>
        <w:trPr>
          <w:trHeight w:val="285" w:hRule="atLeast"/>
        </w:trPr>
        <w:tc>
          <w:tcPr>
            <w:tcW w:w="3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0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专用双极电极（双极杆状电极）</w:t>
            </w:r>
          </w:p>
        </w:tc>
        <w:tc>
          <w:tcPr>
            <w:tcW w:w="86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规格型号SM8200-SM9400</w:t>
            </w:r>
          </w:p>
        </w:tc>
        <w:tc>
          <w:tcPr>
            <w:tcW w:w="242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3960</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3960</w:t>
            </w:r>
          </w:p>
        </w:tc>
      </w:tr>
    </w:tbl>
    <w:p/>
    <w:p>
      <w:pPr>
        <w:rPr>
          <w:sz w:val="28"/>
        </w:rPr>
      </w:pPr>
      <w:r>
        <w:rPr>
          <w:rFonts w:hint="eastAsia"/>
          <w:sz w:val="28"/>
        </w:rPr>
        <w:t>第二十二包：</w:t>
      </w:r>
    </w:p>
    <w:tbl>
      <w:tblPr>
        <w:tblStyle w:val="24"/>
        <w:tblW w:w="5241" w:type="pct"/>
        <w:tblInd w:w="-176" w:type="dxa"/>
        <w:tblLayout w:type="fixed"/>
        <w:tblCellMar>
          <w:top w:w="0" w:type="dxa"/>
          <w:left w:w="108" w:type="dxa"/>
          <w:bottom w:w="0" w:type="dxa"/>
          <w:right w:w="108" w:type="dxa"/>
        </w:tblCellMar>
      </w:tblPr>
      <w:tblGrid>
        <w:gridCol w:w="709"/>
        <w:gridCol w:w="1276"/>
        <w:gridCol w:w="1560"/>
        <w:gridCol w:w="4393"/>
        <w:gridCol w:w="995"/>
      </w:tblGrid>
      <w:tr>
        <w:tblPrEx>
          <w:tblCellMar>
            <w:top w:w="0" w:type="dxa"/>
            <w:left w:w="108" w:type="dxa"/>
            <w:bottom w:w="0" w:type="dxa"/>
            <w:right w:w="108" w:type="dxa"/>
          </w:tblCellMar>
        </w:tblPrEx>
        <w:trPr>
          <w:trHeight w:val="285" w:hRule="atLeast"/>
        </w:trPr>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4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135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一次性使用医用手术衣</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YB.SSY.A.Z 110*135cm</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手术衣采用SMMMS材质的复合无纺布经裁剪、缝纫在前胸至腹部和双袖增加一层复膜无纺布制作而成，后背开口、系带，为反穿式长褂手术衣。产品有前身、后身、袖子、系带组成，其中前身及袖子为关键区域，其余部分为非关键区域。适用于已知病人血液无传染性病毒的手术。无菌独立包装。成品尺寸：110*135cm</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11.5</w:t>
            </w:r>
          </w:p>
        </w:tc>
      </w:tr>
      <w:tr>
        <w:tblPrEx>
          <w:tblCellMar>
            <w:top w:w="0" w:type="dxa"/>
            <w:left w:w="108" w:type="dxa"/>
            <w:bottom w:w="0" w:type="dxa"/>
            <w:right w:w="108" w:type="dxa"/>
          </w:tblCellMar>
        </w:tblPrEx>
        <w:trPr>
          <w:trHeight w:val="135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一次性医用防护口罩</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N95   20个/盒</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医用防护口罩由四层非织造布（由外及里第三层为过滤材料）和鼻夹热压而成，为折叠式口罩。在气体流量为85L/min情况下，口罩对非油性的过滤效率达到95％以上。密合性总适合因数应不低于100。适用于医疗工作环境下，过滤空气中的颗粒物，阻隔飞沫、血液、体液、分泌物。无菌、独立包装。20只/盒</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w:t>
            </w:r>
          </w:p>
        </w:tc>
      </w:tr>
      <w:tr>
        <w:tblPrEx>
          <w:tblCellMar>
            <w:top w:w="0" w:type="dxa"/>
            <w:left w:w="108" w:type="dxa"/>
            <w:bottom w:w="0" w:type="dxa"/>
            <w:right w:w="108" w:type="dxa"/>
          </w:tblCellMar>
        </w:tblPrEx>
        <w:trPr>
          <w:trHeight w:val="102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w:t>
            </w:r>
          </w:p>
        </w:tc>
        <w:tc>
          <w:tcPr>
            <w:tcW w:w="87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20*50  橡筋B001 独立包装</w:t>
            </w:r>
          </w:p>
        </w:tc>
        <w:tc>
          <w:tcPr>
            <w:tcW w:w="2459"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耳带）由三层非织造布（中间为驻极静电过滤材料）和鼻夹经热压、缝制而成，为长方形口罩。适用于临床医务人员在有创操作过程中佩戴，为接受处理的患者及实施有创操作的医务人员提供防护，能防止血液、体液和飞溅物的传播。独立包装。50只/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0.6</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YB.WKKZ.DZ 40个/包 20包/件</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绑带）由三层非织造布（中间为驻极静电过滤材料）和鼻夹经热压、缝制而成，为长方形口罩。适用于临床医务人员在有创操作过程中佩戴，为接受处理的患者及实施有创操作的医务人员提供防护，能防止血液、体液和飞溅物的传播。独立包装。40只/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0.6</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医用外科口罩.医用一次性帽子</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25*30  25套/袋  750套/件</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医用外科口罩由三层非织造布（中间为驻极静电过滤材料）和鼻夹经热压、缝制而成，为长方形口罩。圆帽由采用SMS材质的复合无纺布经热合而成。方便医务人员在临床中使用方便，无菌、独立套装。25套/包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医用外科口罩.医用一次性帽子（折叠）</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25*30    25套/袋 750套/件</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医用外科口罩由三层非织造布（中间为驻极静电过滤材料）和鼻夹经热压、缝制而成，为长方形口罩。圆帽由采用SMS材质的复合无纺布经热合而成。方便医务人员在临床中使用方便，无菌、独立套装。25套/包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医用外科口罩（带子）</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100*10</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绑带）由三层非织造布（中间为驻极静电过滤材料）和鼻夹经热压、缝制而成，为长方形口罩。适用于临床医务人员在有创操作过程中佩戴，为接受处理的患者及实施有创操作的医务人员提供防护，能防止血液、体液和飞溅物的传播。10只装。100只/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0.6</w:t>
            </w:r>
          </w:p>
        </w:tc>
      </w:tr>
      <w:tr>
        <w:tblPrEx>
          <w:tblCellMar>
            <w:top w:w="0" w:type="dxa"/>
            <w:left w:w="108" w:type="dxa"/>
            <w:bottom w:w="0" w:type="dxa"/>
            <w:right w:w="108" w:type="dxa"/>
          </w:tblCellMar>
        </w:tblPrEx>
        <w:trPr>
          <w:trHeight w:val="102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医用外科口罩（橡筋）</w:t>
            </w:r>
          </w:p>
        </w:tc>
        <w:tc>
          <w:tcPr>
            <w:tcW w:w="873"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100*20  10个/包 100个/大包 2000个/件</w:t>
            </w:r>
          </w:p>
        </w:tc>
        <w:tc>
          <w:tcPr>
            <w:tcW w:w="2459"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医用外科口罩（耳带）由三层非织造布（中间为驻极静电过滤材料）和鼻夹经热压、缝制而成，为长方形口罩。适用于临床医务人员在有创操作过程中佩戴，为接受处理的患者及实施有创操作的医务人员提供防护，能防止血液、体液和飞溅物的传播。10只装。100只/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0.5</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医用一次性帽子</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50*26  50顶/包 1300顶/件</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圆帽由采用SMS材质的复合无纺布经热合而成。用于防止临床医务人员头发、头皮屑脱落，代替重复使用帽子，避免医源性交叉感染。适用于临床医务人员在医院手术室、病房、门诊等场所使用。无菌包装。50顶/包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0.5</w:t>
            </w:r>
          </w:p>
        </w:tc>
      </w:tr>
      <w:tr>
        <w:tblPrEx>
          <w:tblCellMar>
            <w:top w:w="0" w:type="dxa"/>
            <w:left w:w="108" w:type="dxa"/>
            <w:bottom w:w="0" w:type="dxa"/>
            <w:right w:w="108" w:type="dxa"/>
          </w:tblCellMar>
        </w:tblPrEx>
        <w:trPr>
          <w:trHeight w:val="1080"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医用一次性帽子</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50顶/包 32包/件</w:t>
            </w:r>
          </w:p>
        </w:tc>
        <w:tc>
          <w:tcPr>
            <w:tcW w:w="2459"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圆帽由采用SMS材质的复合无纺布经热合而成。用于防止临床医务人员头发、头皮屑脱落，代替重复使用帽子，避免医源性交叉感染。适用于临床医务人员在医院手术室、病房、门诊等场所使用。无菌包装。50顶/包</w:t>
            </w: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0.45</w:t>
            </w:r>
          </w:p>
        </w:tc>
      </w:tr>
    </w:tbl>
    <w:p/>
    <w:p>
      <w:pPr>
        <w:rPr>
          <w:sz w:val="28"/>
        </w:rPr>
      </w:pPr>
      <w:r>
        <w:rPr>
          <w:rFonts w:hint="eastAsia"/>
          <w:sz w:val="28"/>
        </w:rPr>
        <w:t>第二十三包：</w:t>
      </w:r>
    </w:p>
    <w:tbl>
      <w:tblPr>
        <w:tblStyle w:val="24"/>
        <w:tblW w:w="5241" w:type="pct"/>
        <w:tblInd w:w="-176" w:type="dxa"/>
        <w:tblLayout w:type="fixed"/>
        <w:tblCellMar>
          <w:top w:w="0" w:type="dxa"/>
          <w:left w:w="108" w:type="dxa"/>
          <w:bottom w:w="0" w:type="dxa"/>
          <w:right w:w="108" w:type="dxa"/>
        </w:tblCellMar>
      </w:tblPr>
      <w:tblGrid>
        <w:gridCol w:w="707"/>
        <w:gridCol w:w="1276"/>
        <w:gridCol w:w="1561"/>
        <w:gridCol w:w="4399"/>
        <w:gridCol w:w="990"/>
      </w:tblGrid>
      <w:tr>
        <w:tblPrEx>
          <w:tblCellMar>
            <w:top w:w="0" w:type="dxa"/>
            <w:left w:w="108" w:type="dxa"/>
            <w:bottom w:w="0" w:type="dxa"/>
            <w:right w:w="108" w:type="dxa"/>
          </w:tblCellMar>
        </w:tblPrEx>
        <w:trPr>
          <w:trHeight w:val="285"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4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55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最高限价（元）</w:t>
            </w:r>
          </w:p>
        </w:tc>
      </w:tr>
      <w:tr>
        <w:tblPrEx>
          <w:tblCellMar>
            <w:top w:w="0" w:type="dxa"/>
            <w:left w:w="108" w:type="dxa"/>
            <w:bottom w:w="0" w:type="dxa"/>
            <w:right w:w="108" w:type="dxa"/>
          </w:tblCellMar>
        </w:tblPrEx>
        <w:trPr>
          <w:trHeight w:val="27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导丝（介入）</w:t>
            </w:r>
          </w:p>
        </w:tc>
        <w:tc>
          <w:tcPr>
            <w:tcW w:w="8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RF*GA35153M</w:t>
            </w:r>
          </w:p>
        </w:tc>
        <w:tc>
          <w:tcPr>
            <w:tcW w:w="2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长度150CM/直径0.46MM</w:t>
            </w:r>
          </w:p>
        </w:tc>
        <w:tc>
          <w:tcPr>
            <w:tcW w:w="5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200</w:t>
            </w:r>
          </w:p>
        </w:tc>
      </w:tr>
      <w:tr>
        <w:tblPrEx>
          <w:tblCellMar>
            <w:top w:w="0" w:type="dxa"/>
            <w:left w:w="108" w:type="dxa"/>
            <w:bottom w:w="0" w:type="dxa"/>
            <w:right w:w="108" w:type="dxa"/>
          </w:tblCellMar>
        </w:tblPrEx>
        <w:trPr>
          <w:trHeight w:val="27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冠状动脉造影-导管（进口）</w:t>
            </w:r>
          </w:p>
        </w:tc>
        <w:tc>
          <w:tcPr>
            <w:tcW w:w="8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RQ*5TIG110M,RH*5JR4000M.5JL4000M</w:t>
            </w:r>
          </w:p>
        </w:tc>
        <w:tc>
          <w:tcPr>
            <w:tcW w:w="2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长度100CM/直径5Fr</w:t>
            </w:r>
          </w:p>
        </w:tc>
        <w:tc>
          <w:tcPr>
            <w:tcW w:w="5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159</w:t>
            </w:r>
          </w:p>
        </w:tc>
      </w:tr>
      <w:tr>
        <w:tblPrEx>
          <w:tblCellMar>
            <w:top w:w="0" w:type="dxa"/>
            <w:left w:w="108" w:type="dxa"/>
            <w:bottom w:w="0" w:type="dxa"/>
            <w:right w:w="108" w:type="dxa"/>
          </w:tblCellMar>
        </w:tblPrEx>
        <w:trPr>
          <w:trHeight w:val="27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冠状动脉造影-血管鞘组（进口）</w:t>
            </w:r>
          </w:p>
        </w:tc>
        <w:tc>
          <w:tcPr>
            <w:tcW w:w="8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A50G16SQZ  RS*A60G16SQZ</w:t>
            </w:r>
          </w:p>
        </w:tc>
        <w:tc>
          <w:tcPr>
            <w:tcW w:w="2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长度160MM/直径5Fr-6Fr</w:t>
            </w:r>
          </w:p>
        </w:tc>
        <w:tc>
          <w:tcPr>
            <w:tcW w:w="5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174</w:t>
            </w:r>
          </w:p>
        </w:tc>
      </w:tr>
      <w:tr>
        <w:tblPrEx>
          <w:tblCellMar>
            <w:top w:w="0" w:type="dxa"/>
            <w:left w:w="108" w:type="dxa"/>
            <w:bottom w:w="0" w:type="dxa"/>
            <w:right w:w="108" w:type="dxa"/>
          </w:tblCellMar>
        </w:tblPrEx>
        <w:trPr>
          <w:trHeight w:val="27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血管鞘组(股动脉）</w:t>
            </w:r>
          </w:p>
        </w:tc>
        <w:tc>
          <w:tcPr>
            <w:tcW w:w="87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RS*A50K10SQ RS*A60K10SQ 5支/盒</w:t>
            </w:r>
          </w:p>
        </w:tc>
        <w:tc>
          <w:tcPr>
            <w:tcW w:w="2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长度100MM/直径5Fr-6Fr</w:t>
            </w:r>
          </w:p>
        </w:tc>
        <w:tc>
          <w:tcPr>
            <w:tcW w:w="55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170</w:t>
            </w:r>
          </w:p>
        </w:tc>
      </w:tr>
    </w:tbl>
    <w:p/>
    <w:p>
      <w:r>
        <w:rPr>
          <w:rFonts w:hint="eastAsia"/>
          <w:sz w:val="28"/>
        </w:rPr>
        <w:t>第二十四包：</w:t>
      </w:r>
    </w:p>
    <w:tbl>
      <w:tblPr>
        <w:tblStyle w:val="24"/>
        <w:tblW w:w="5240" w:type="pct"/>
        <w:tblInd w:w="-176" w:type="dxa"/>
        <w:tblLayout w:type="fixed"/>
        <w:tblCellMar>
          <w:top w:w="0" w:type="dxa"/>
          <w:left w:w="108" w:type="dxa"/>
          <w:bottom w:w="0" w:type="dxa"/>
          <w:right w:w="108" w:type="dxa"/>
        </w:tblCellMar>
      </w:tblPr>
      <w:tblGrid>
        <w:gridCol w:w="712"/>
        <w:gridCol w:w="1275"/>
        <w:gridCol w:w="1559"/>
        <w:gridCol w:w="4394"/>
        <w:gridCol w:w="991"/>
      </w:tblGrid>
      <w:tr>
        <w:tblPrEx>
          <w:tblCellMar>
            <w:top w:w="0" w:type="dxa"/>
            <w:left w:w="108" w:type="dxa"/>
            <w:bottom w:w="0" w:type="dxa"/>
            <w:right w:w="108" w:type="dxa"/>
          </w:tblCellMar>
        </w:tblPrEx>
        <w:trPr>
          <w:trHeight w:val="799" w:hRule="atLeast"/>
        </w:trPr>
        <w:tc>
          <w:tcPr>
            <w:tcW w:w="3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产品名称</w:t>
            </w:r>
          </w:p>
        </w:tc>
        <w:tc>
          <w:tcPr>
            <w:tcW w:w="8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型号</w:t>
            </w:r>
          </w:p>
        </w:tc>
        <w:tc>
          <w:tcPr>
            <w:tcW w:w="246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基本性能描述</w:t>
            </w:r>
          </w:p>
        </w:tc>
        <w:tc>
          <w:tcPr>
            <w:tcW w:w="555"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最高限价（元）</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14"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一次性使用不粘双极电凝镊</w:t>
            </w:r>
          </w:p>
        </w:tc>
        <w:tc>
          <w:tcPr>
            <w:tcW w:w="873"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0.9×190  0.9*230</w:t>
            </w:r>
          </w:p>
        </w:tc>
        <w:tc>
          <w:tcPr>
            <w:tcW w:w="246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该型号由镊体、输水管、电线、接线盒组成。镊体为枪型，双侧出水，与配套连接线配套使用（配套连接线为独立包装），镊尖宽0.9mm，镊体长度190mm</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480</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1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颅骨网板（连接片）</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2x14.5x1.0</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颅骨网板：用于颅骨缺损的修补。由符合GB/T13810标准规定的TA2纯钛材料制成，表面可为本色状态，表面可经着色阳极氧化或经黑灰阳极氧化处理。灭菌和非灭菌包装</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740</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1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颅骨网板（钛网）</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各型号</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颅骨网板：用于颅骨缺损的修补。由符合GB/T13810标准规定的TA2纯钛材料制成，表面可为本色状态，表面可经着色阳极氧化或经黑灰阳极氧化处理。灭菌和非灭菌包装</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7800</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1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颅骨螺钉（自攻钉）</w:t>
            </w:r>
          </w:p>
        </w:tc>
        <w:tc>
          <w:tcPr>
            <w:tcW w:w="873"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2.0x5mm   2.0x7mm</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颅骨螺钉：与颅骨网板及颌面骨板配合，适用于颅颌面内固定。其为自攻螺钉，选用GB/T13810标准规定的TC4钛合金材料制造，表面无着色，产品含灭菌和非灭菌包装。</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160</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1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动脉瘤夹</w:t>
            </w:r>
          </w:p>
        </w:tc>
        <w:tc>
          <w:tcPr>
            <w:tcW w:w="8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07-934-</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产品由符合YY/T0605.6的钴铬镍钼铁合金或符合GB/T13810的钛6铝4钒合金材料制成。其中钛6铝4钒合金材料制成的动脉瘤夹的桥线由符合GB/T13810的纯钛材料制成，非无菌包装，一次性使用。</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4250</w:t>
            </w:r>
          </w:p>
        </w:tc>
      </w:tr>
      <w:tr>
        <w:tblPrEx>
          <w:tblCellMar>
            <w:top w:w="0" w:type="dxa"/>
            <w:left w:w="108" w:type="dxa"/>
            <w:bottom w:w="0" w:type="dxa"/>
            <w:right w:w="108" w:type="dxa"/>
          </w:tblCellMar>
        </w:tblPrEx>
        <w:trPr>
          <w:trHeight w:val="12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1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动脉瘤夹</w:t>
            </w:r>
          </w:p>
        </w:tc>
        <w:tc>
          <w:tcPr>
            <w:tcW w:w="8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17-001-</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产品由符合YY/T0605.6的钴铬镍钼铁合金或符合GB/T13810的钛6铝4钒合金材料制成。其中钛6铝4钒合金材料制成的动脉瘤夹的桥线由符合GB/T13810的纯钛材料制成，非无菌包装，一次性使用。</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9200</w:t>
            </w:r>
          </w:p>
        </w:tc>
      </w:tr>
      <w:tr>
        <w:tblPrEx>
          <w:tblCellMar>
            <w:top w:w="0" w:type="dxa"/>
            <w:left w:w="108" w:type="dxa"/>
            <w:bottom w:w="0" w:type="dxa"/>
            <w:right w:w="108" w:type="dxa"/>
          </w:tblCellMar>
        </w:tblPrEx>
        <w:trPr>
          <w:trHeight w:val="2700"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14"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一次使用铣刀</w:t>
            </w:r>
          </w:p>
        </w:tc>
        <w:tc>
          <w:tcPr>
            <w:tcW w:w="8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HZ-IV9*12</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铣刀：铣刀连接杆部分整体平整，无锋棱、毛刺；刃口部分应无缺口，裂纹。2.材质：产品采用符合GB/T1220-2007中规定的30Cr13不锈钢制作；3.硬度：铣刀材质为30Cr13硬度47HRC`53HRC;4.表面粗糙度：铣刀连接杆部分表面粗糙度应不大于0.8um；5.磨削性能：铣刀刃口应锋利。6.耐腐蚀性：产品耐腐蚀性能应符合YY/T0149-2006中沸水实验法实验评比b的规定。7.无菌：产品经环氧乙烷灭菌后应无菌；8.环氧乙烷残留量：产品经环氧乙烷残留量应不大于10ug/g.</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1200</w:t>
            </w:r>
          </w:p>
        </w:tc>
      </w:tr>
      <w:tr>
        <w:tblPrEx>
          <w:tblCellMar>
            <w:top w:w="0" w:type="dxa"/>
            <w:left w:w="108" w:type="dxa"/>
            <w:bottom w:w="0" w:type="dxa"/>
            <w:right w:w="108" w:type="dxa"/>
          </w:tblCellMar>
        </w:tblPrEx>
        <w:trPr>
          <w:trHeight w:val="282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一次性使用钻头</w:t>
            </w:r>
          </w:p>
        </w:tc>
        <w:tc>
          <w:tcPr>
            <w:tcW w:w="8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HX-VII-IX2*45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结构组成：本产品由主钻头、副钻头、连接轴组件、弹簧、转接轴组成。1.外观：钻头表面应光滑，不得由连续锋棱、毛刺、附作物等缺陷。转接轴外壁应光滑，平整。不得出现明显裂纹。2.尺寸：主钻头直径差值不得超过±0.2mm、副钻头直径差值不得超过±1mm.3.材质：产品主、副钻头采用符合GB/T1220-2007中规定的30Cr13不锈钢制作；4.硬度：主钻头硬度47HRC`53HRC;5.表面粗糙度：主钻头表面粗糙度Ra应不大于0.8um；6.使用性能：钻头止停装置应有效，主钻头穿过试样后应停止旋转.7.跳动偏差：基体芯杆圆跳动偏差应不大于0.01mm.8.耐腐蚀性：主钻头产品耐腐蚀性能应符合YY/T0149-2006中沸水实验法实验评比b的规定。9.无菌：产品经环氧乙烷灭菌后应无菌；10.环氧乙烷残留量：产品经环氧乙烷残留量应不大于10ug/g.</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1600</w:t>
            </w:r>
          </w:p>
        </w:tc>
      </w:tr>
      <w:tr>
        <w:tblPrEx>
          <w:tblCellMar>
            <w:top w:w="0" w:type="dxa"/>
            <w:left w:w="108" w:type="dxa"/>
            <w:bottom w:w="0" w:type="dxa"/>
            <w:right w:w="108" w:type="dxa"/>
          </w:tblCellMar>
        </w:tblPrEx>
        <w:trPr>
          <w:trHeight w:val="799"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骨动力系统——磨头</w:t>
            </w:r>
          </w:p>
        </w:tc>
        <w:tc>
          <w:tcPr>
            <w:tcW w:w="873"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各型号</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金钢砂磨头和西瓜磨头</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1600</w:t>
            </w:r>
          </w:p>
        </w:tc>
      </w:tr>
      <w:tr>
        <w:tblPrEx>
          <w:tblCellMar>
            <w:top w:w="0" w:type="dxa"/>
            <w:left w:w="108" w:type="dxa"/>
            <w:bottom w:w="0" w:type="dxa"/>
            <w:right w:w="108" w:type="dxa"/>
          </w:tblCellMar>
        </w:tblPrEx>
        <w:trPr>
          <w:trHeight w:val="799"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叶片状显微剥离器</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1.5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799"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叶片状显微剥离器</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799"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枪型叶片状显微剥离器</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4.5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枪型叶片状显微剥离器</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2</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圆头角型显微剥离器</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球头显微拉钩</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1</w:t>
            </w:r>
            <w:r>
              <w:rPr>
                <w:rFonts w:hint="eastAsia" w:cs="宋体" w:asciiTheme="minorEastAsia" w:hAnsiTheme="minorEastAsia"/>
                <w:kern w:val="0"/>
                <w:sz w:val="24"/>
              </w:rPr>
              <w:t>×</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钝头显微拉钩</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0.6</w:t>
            </w:r>
            <w:r>
              <w:rPr>
                <w:rFonts w:hint="eastAsia" w:cs="宋体" w:asciiTheme="minorEastAsia" w:hAnsiTheme="minorEastAsia"/>
                <w:kern w:val="0"/>
                <w:sz w:val="24"/>
              </w:rPr>
              <w:t>×</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血管探针</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0.7</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直型显微刮匙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枪型显微刮匙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2</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枪型显微刮匙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直型环状刮匙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枪型右弯环状刮匙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枪型左弯环状刮匙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枪型钝角环状刮匙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枪型直角环状刮匙</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4</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枪状上弯显微手术刀</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3.5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枪状下弯显微手术刀</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w:t>
            </w:r>
            <w:r>
              <w:rPr>
                <w:rFonts w:asciiTheme="minorEastAsia" w:hAnsiTheme="minorEastAsia"/>
                <w:kern w:val="0"/>
                <w:sz w:val="24"/>
              </w:rPr>
              <w:t>3.5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1460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精细脑压板</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带刻度</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29</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簧式组织剪</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230尖直</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簧式组织剪</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230尖弯</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31</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簧式持针钳</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225直</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簧式持针钳</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225弯</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枪状显微镊（无齿）</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0.6</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枪状显微镊（有齿）</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0.9</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枪状组织镊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1</w:t>
            </w:r>
            <w:r>
              <w:rPr>
                <w:rFonts w:hint="eastAsia" w:cs="宋体" w:asciiTheme="minorEastAsia" w:hAnsiTheme="minorEastAsia"/>
                <w:kern w:val="0"/>
                <w:sz w:val="24"/>
              </w:rPr>
              <w:t>×</w:t>
            </w:r>
            <w:r>
              <w:rPr>
                <w:rFonts w:asciiTheme="minorEastAsia" w:hAnsiTheme="minorEastAsia"/>
                <w:kern w:val="0"/>
                <w:sz w:val="24"/>
              </w:rPr>
              <w:t>2</w:t>
            </w:r>
            <w:r>
              <w:rPr>
                <w:rFonts w:hint="eastAsia" w:cs="宋体" w:asciiTheme="minorEastAsia" w:hAnsiTheme="minorEastAsia"/>
                <w:kern w:val="0"/>
                <w:sz w:val="24"/>
              </w:rPr>
              <w:t>钩</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枪状取瘤镊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37</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枪状取瘤镊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直型垂体瘤镊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39</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上弯垂体瘤镊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4</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下弯垂体瘤镊</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240×</w:t>
            </w:r>
            <w:r>
              <w:rPr>
                <w:rFonts w:asciiTheme="minorEastAsia" w:hAnsiTheme="minorEastAsia"/>
                <w:kern w:val="0"/>
                <w:sz w:val="24"/>
              </w:rPr>
              <w:t>2</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柔性可控吸引管</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260×</w:t>
            </w:r>
            <w:r>
              <w:rPr>
                <w:rFonts w:asciiTheme="minorEastAsia" w:hAnsiTheme="minorEastAsia"/>
                <w:kern w:val="0"/>
                <w:sz w:val="24"/>
              </w:rPr>
              <w:t>2</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柔性可控吸引管</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260×</w:t>
            </w:r>
            <w:r>
              <w:rPr>
                <w:rFonts w:asciiTheme="minorEastAsia" w:hAnsiTheme="minorEastAsia"/>
                <w:kern w:val="0"/>
                <w:sz w:val="24"/>
              </w:rPr>
              <w:t>2.5</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43</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柔性可控吸引管</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260×</w:t>
            </w:r>
            <w:r>
              <w:rPr>
                <w:rFonts w:asciiTheme="minorEastAsia" w:hAnsiTheme="minorEastAsia"/>
                <w:kern w:val="0"/>
                <w:sz w:val="24"/>
              </w:rPr>
              <w:t>3</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精细取瘤钳</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200×</w:t>
            </w:r>
            <w:r>
              <w:rPr>
                <w:rFonts w:asciiTheme="minorEastAsia" w:hAnsiTheme="minorEastAsia"/>
                <w:kern w:val="0"/>
                <w:sz w:val="24"/>
              </w:rPr>
              <w:t>3</w:t>
            </w:r>
            <w:r>
              <w:rPr>
                <w:rFonts w:hint="eastAsia" w:cs="宋体" w:asciiTheme="minorEastAsia" w:hAnsiTheme="minorEastAsia"/>
                <w:kern w:val="0"/>
                <w:sz w:val="24"/>
              </w:rPr>
              <w:t>直头</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精细取瘤钳</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200×</w:t>
            </w:r>
            <w:r>
              <w:rPr>
                <w:rFonts w:asciiTheme="minorEastAsia" w:hAnsiTheme="minorEastAsia"/>
                <w:kern w:val="0"/>
                <w:sz w:val="24"/>
              </w:rPr>
              <w:t>3</w:t>
            </w:r>
            <w:r>
              <w:rPr>
                <w:rFonts w:hint="eastAsia" w:cs="宋体" w:asciiTheme="minorEastAsia" w:hAnsiTheme="minorEastAsia"/>
                <w:kern w:val="0"/>
                <w:sz w:val="24"/>
              </w:rPr>
              <w:t>左向</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w:t>
            </w:r>
          </w:p>
        </w:tc>
        <w:tc>
          <w:tcPr>
            <w:tcW w:w="714"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精细取瘤钳</w:t>
            </w:r>
          </w:p>
        </w:tc>
        <w:tc>
          <w:tcPr>
            <w:tcW w:w="873" w:type="pct"/>
            <w:tcBorders>
              <w:top w:val="nil"/>
              <w:left w:val="nil"/>
              <w:bottom w:val="single" w:color="auto" w:sz="4" w:space="0"/>
              <w:right w:val="single" w:color="auto" w:sz="4" w:space="0"/>
            </w:tcBorders>
            <w:shd w:val="clear" w:color="auto" w:fill="auto"/>
          </w:tcPr>
          <w:p>
            <w:pPr>
              <w:widowControl/>
              <w:rPr>
                <w:rFonts w:cs="宋体" w:asciiTheme="minorEastAsia" w:hAnsiTheme="minorEastAsia"/>
                <w:kern w:val="0"/>
                <w:sz w:val="24"/>
              </w:rPr>
            </w:pPr>
            <w:r>
              <w:rPr>
                <w:rFonts w:hint="eastAsia" w:cs="宋体" w:asciiTheme="minorEastAsia" w:hAnsiTheme="minorEastAsia"/>
                <w:kern w:val="0"/>
                <w:sz w:val="24"/>
              </w:rPr>
              <w:t>200×</w:t>
            </w:r>
            <w:r>
              <w:rPr>
                <w:rFonts w:asciiTheme="minorEastAsia" w:hAnsiTheme="minorEastAsia"/>
                <w:kern w:val="0"/>
                <w:sz w:val="24"/>
              </w:rPr>
              <w:t>3</w:t>
            </w:r>
            <w:r>
              <w:rPr>
                <w:rFonts w:hint="eastAsia" w:cs="宋体" w:asciiTheme="minorEastAsia" w:hAnsiTheme="minorEastAsia"/>
                <w:kern w:val="0"/>
                <w:sz w:val="24"/>
              </w:rPr>
              <w:t>右向</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不锈钢</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47</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直型簧式显微剪</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230直尖</w:t>
            </w:r>
          </w:p>
        </w:tc>
        <w:tc>
          <w:tcPr>
            <w:tcW w:w="246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钛合金</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枪型簧式显微剪</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230弯尖</w:t>
            </w:r>
          </w:p>
        </w:tc>
        <w:tc>
          <w:tcPr>
            <w:tcW w:w="246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钛合金</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7500</w:t>
            </w:r>
          </w:p>
        </w:tc>
      </w:tr>
      <w:tr>
        <w:tblPrEx>
          <w:tblCellMar>
            <w:top w:w="0" w:type="dxa"/>
            <w:left w:w="108" w:type="dxa"/>
            <w:bottom w:w="0" w:type="dxa"/>
            <w:right w:w="108" w:type="dxa"/>
          </w:tblCellMar>
        </w:tblPrEx>
        <w:trPr>
          <w:trHeight w:val="405" w:hRule="atLeast"/>
        </w:trPr>
        <w:tc>
          <w:tcPr>
            <w:tcW w:w="398"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49</w:t>
            </w:r>
          </w:p>
        </w:tc>
        <w:tc>
          <w:tcPr>
            <w:tcW w:w="714"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枪型簧式显微剪</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230弯圆</w:t>
            </w:r>
          </w:p>
        </w:tc>
        <w:tc>
          <w:tcPr>
            <w:tcW w:w="2460"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钛合金</w:t>
            </w:r>
          </w:p>
        </w:tc>
        <w:tc>
          <w:tcPr>
            <w:tcW w:w="55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7500</w:t>
            </w:r>
          </w:p>
        </w:tc>
      </w:tr>
    </w:tbl>
    <w:p/>
    <w:p>
      <w:r>
        <w:rPr>
          <w:rFonts w:hint="eastAsia"/>
          <w:sz w:val="28"/>
        </w:rPr>
        <w:t>第二十五包：</w:t>
      </w:r>
    </w:p>
    <w:tbl>
      <w:tblPr>
        <w:tblStyle w:val="24"/>
        <w:tblW w:w="5241" w:type="pct"/>
        <w:tblInd w:w="-176" w:type="dxa"/>
        <w:tblLayout w:type="fixed"/>
        <w:tblCellMar>
          <w:top w:w="0" w:type="dxa"/>
          <w:left w:w="108" w:type="dxa"/>
          <w:bottom w:w="0" w:type="dxa"/>
          <w:right w:w="108" w:type="dxa"/>
        </w:tblCellMar>
      </w:tblPr>
      <w:tblGrid>
        <w:gridCol w:w="708"/>
        <w:gridCol w:w="1277"/>
        <w:gridCol w:w="1560"/>
        <w:gridCol w:w="4395"/>
        <w:gridCol w:w="993"/>
      </w:tblGrid>
      <w:tr>
        <w:tblPrEx>
          <w:tblCellMar>
            <w:top w:w="0" w:type="dxa"/>
            <w:left w:w="108" w:type="dxa"/>
            <w:bottom w:w="0" w:type="dxa"/>
            <w:right w:w="108" w:type="dxa"/>
          </w:tblCellMar>
        </w:tblPrEx>
        <w:trPr>
          <w:trHeight w:val="285" w:hRule="atLeast"/>
        </w:trPr>
        <w:tc>
          <w:tcPr>
            <w:tcW w:w="3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1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品名</w:t>
            </w:r>
          </w:p>
        </w:tc>
        <w:tc>
          <w:tcPr>
            <w:tcW w:w="8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规格</w:t>
            </w:r>
          </w:p>
        </w:tc>
        <w:tc>
          <w:tcPr>
            <w:tcW w:w="246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参数</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最高限价（元）</w:t>
            </w:r>
          </w:p>
        </w:tc>
      </w:tr>
      <w:tr>
        <w:tblPrEx>
          <w:tblCellMar>
            <w:top w:w="0" w:type="dxa"/>
            <w:left w:w="108" w:type="dxa"/>
            <w:bottom w:w="0" w:type="dxa"/>
            <w:right w:w="108" w:type="dxa"/>
          </w:tblCellMar>
        </w:tblPrEx>
        <w:trPr>
          <w:trHeight w:val="78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1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低温等离子灭菌生物指示剂</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嗜热50支/盒</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1、产品通过荧光监则a-葡萄糖苷酶活性与否，检测嗜热脂肪杆菌芽孢是否存活，从而来判断过氧化氢低温等离子体灭苗是否合格；2.产品有效期12个月；3.生产企业通过IS0质量体系认证。</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trHeight w:val="96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1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压力蒸汽灭菌极速生物挑战包</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15个/箱</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1、产品为内含有压力蒸汽灭菌效果监测极速生物指示剂的一次性极速生物测试包，可近期模拟人工标准试验包，为每次压力蒸汽灭菌提供严格并准确的生物监测; 2产品有效期/24个月; 3、生产企业通过ISO质里体系认证。</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170/个</w:t>
            </w:r>
          </w:p>
        </w:tc>
      </w:tr>
      <w:tr>
        <w:tblPrEx>
          <w:tblCellMar>
            <w:top w:w="0" w:type="dxa"/>
            <w:left w:w="108" w:type="dxa"/>
            <w:bottom w:w="0" w:type="dxa"/>
            <w:right w:w="108" w:type="dxa"/>
          </w:tblCellMar>
        </w:tblPrEx>
        <w:trPr>
          <w:trHeight w:val="1200"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1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一次性使用肠给养器</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50支/箱</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1、产品采用环氧乙烷灭菌，由接口护帽、接口（针式接口/袋装接口 /瓶装接口)、空过滤器(针式/瓶装)、螺帽、加药口，贮液袋、止液夹、导管、滴管、滴斗、硅橡胶泵管、两通、磁性启动环、流量调节器、单向阀、冲先三通、Y型三通、三通盖帽、带翼两通、塔座、护帽组成。</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r>
      <w:tr>
        <w:tblPrEx>
          <w:tblCellMar>
            <w:top w:w="0" w:type="dxa"/>
            <w:left w:w="108" w:type="dxa"/>
            <w:bottom w:w="0" w:type="dxa"/>
            <w:right w:w="108" w:type="dxa"/>
          </w:tblCellMar>
        </w:tblPrEx>
        <w:trPr>
          <w:trHeight w:val="1579"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1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一次性使用换药包</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60个/盒 120个/件</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1、产品由基本配置组件搭配选配组件组成。</w:t>
            </w:r>
            <w:r>
              <w:rPr>
                <w:rFonts w:hint="eastAsia" w:ascii="宋体" w:hAnsi="宋体" w:cs="宋体"/>
                <w:kern w:val="0"/>
                <w:sz w:val="24"/>
              </w:rPr>
              <w:br w:type="textWrapping"/>
            </w:r>
            <w:r>
              <w:rPr>
                <w:rFonts w:hint="eastAsia" w:ascii="宋体" w:hAnsi="宋体" w:cs="宋体"/>
                <w:kern w:val="0"/>
                <w:sz w:val="24"/>
              </w:rPr>
              <w:t>基本配置组件为弯盘、镊子、脱脂棉球。选配组件为医用球、消毒棉球、手术垫单、医用纱布块、压舌板、医用无纺布片、-次性使用灭菌橡胶外科手套、创口贴、-次性自粘敷贴、透明敷料、酒精棉片、碘伏棉片、酒精棉签、碘伏棉签、止血带、检查手套、吸水管、棉签、包布、剪刀、直盘、止血钳、垃圾袋; 2、产品有效期三年。</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trHeight w:val="1099" w:hRule="atLeast"/>
        </w:trPr>
        <w:tc>
          <w:tcPr>
            <w:tcW w:w="39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1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一次性使用鞋套(50双/包)</w:t>
            </w:r>
          </w:p>
        </w:tc>
        <w:tc>
          <w:tcPr>
            <w:tcW w:w="87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36*15cm中号 50双/包           </w:t>
            </w:r>
          </w:p>
        </w:tc>
        <w:tc>
          <w:tcPr>
            <w:tcW w:w="246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1、产品以PE膜或无纺布为原材料制成，结实耐用，清洁卫生; 2、结构简单，使用方便; 3、套口有橡筋，可保证不同大小的人使用; 4、有非灭菌型和灭菌型二类，灭菌型产品若采用环氧乙烷灭菌，其残留里不大于100ug/g; 5、产品有效期三年。</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0.29</w:t>
            </w:r>
          </w:p>
        </w:tc>
      </w:tr>
    </w:tbl>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三、商务要求：</w:t>
      </w:r>
    </w:p>
    <w:p>
      <w:pPr>
        <w:snapToGrid w:val="0"/>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1、服务年限：</w:t>
      </w:r>
      <w:r>
        <w:rPr>
          <w:rFonts w:hint="eastAsia" w:asciiTheme="minorEastAsia" w:hAnsiTheme="minorEastAsia" w:eastAsiaTheme="minorEastAsia"/>
          <w:sz w:val="24"/>
        </w:rPr>
        <w:t>服务期限一年，每季度末广汉市人民医院对供应商的履约能力进行综合评定，若评定为不合格，广汉市人民医院有权单方面解除合同，广汉市人民医院可以与排在中标人之后第一位的中标候选人签订采购合同，以此类推。</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2、付款方式说明：</w:t>
      </w:r>
      <w:r>
        <w:rPr>
          <w:rFonts w:hint="eastAsia" w:asciiTheme="minorEastAsia" w:hAnsiTheme="minorEastAsia" w:eastAsiaTheme="minorEastAsia"/>
          <w:sz w:val="24"/>
        </w:rPr>
        <w:t>根据广汉市人民医院付款程序在合同中约定。</w:t>
      </w:r>
    </w:p>
    <w:p>
      <w:pPr>
        <w:snapToGrid w:val="0"/>
        <w:spacing w:line="360" w:lineRule="auto"/>
        <w:rPr>
          <w:rFonts w:ascii="华文中宋" w:hAnsi="华文中宋" w:eastAsia="华文中宋"/>
          <w:b/>
          <w:sz w:val="24"/>
        </w:rPr>
      </w:pPr>
      <w:r>
        <w:rPr>
          <w:rFonts w:hint="eastAsia" w:asciiTheme="minorEastAsia" w:hAnsiTheme="minorEastAsia" w:eastAsiaTheme="minorEastAsia"/>
          <w:b/>
          <w:sz w:val="24"/>
        </w:rPr>
        <w:t>3、配送时间要求：</w:t>
      </w:r>
      <w:r>
        <w:rPr>
          <w:rFonts w:hint="eastAsia" w:asciiTheme="minorEastAsia" w:hAnsiTheme="minorEastAsia" w:eastAsiaTheme="minorEastAsia"/>
          <w:sz w:val="24"/>
        </w:rPr>
        <w:t>广汉市人民医院每月底向中标供应商提供次月使用产品品目及数量，各供应商收到采购计划后，必须根据广汉市人民医院的配送时间在规定时间内按要求完成配送。</w:t>
      </w:r>
    </w:p>
    <w:p>
      <w:pPr>
        <w:pStyle w:val="6"/>
        <w:spacing w:line="400" w:lineRule="exact"/>
        <w:ind w:firstLine="0" w:firstLineChars="0"/>
        <w:rPr>
          <w:rFonts w:asciiTheme="minorEastAsia" w:hAnsiTheme="minorEastAsia" w:eastAsiaTheme="minorEastAsia"/>
          <w:color w:val="FF0000"/>
          <w:sz w:val="28"/>
        </w:rPr>
      </w:pPr>
    </w:p>
    <w:p>
      <w:pPr>
        <w:pStyle w:val="6"/>
        <w:spacing w:line="400" w:lineRule="exact"/>
        <w:ind w:firstLine="364" w:firstLineChars="130"/>
        <w:rPr>
          <w:rFonts w:asciiTheme="minorEastAsia" w:hAnsiTheme="minorEastAsia" w:eastAsiaTheme="minorEastAsia"/>
          <w:sz w:val="28"/>
        </w:rPr>
      </w:pPr>
    </w:p>
    <w:p>
      <w:pPr>
        <w:pStyle w:val="6"/>
        <w:spacing w:line="400" w:lineRule="exact"/>
        <w:ind w:firstLine="364" w:firstLineChars="130"/>
        <w:rPr>
          <w:rFonts w:asciiTheme="minorEastAsia" w:hAnsiTheme="minorEastAsia" w:eastAsiaTheme="minorEastAsia"/>
          <w:sz w:val="28"/>
        </w:rPr>
      </w:pPr>
    </w:p>
    <w:p>
      <w:pPr>
        <w:pStyle w:val="54"/>
        <w:spacing w:line="400" w:lineRule="exact"/>
        <w:ind w:firstLine="0" w:firstLineChars="0"/>
        <w:rPr>
          <w:rFonts w:asciiTheme="minorEastAsia" w:hAnsiTheme="minorEastAsia" w:eastAsiaTheme="minorEastAsia"/>
          <w:sz w:val="2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hint="eastAsia" w:cs="仿宋_GB2312" w:asciiTheme="minorEastAsia" w:hAnsiTheme="minorEastAsia" w:eastAsiaTheme="minorEastAsia"/>
          <w:b/>
          <w:bCs/>
          <w:kern w:val="0"/>
          <w:sz w:val="32"/>
          <w:szCs w:val="32"/>
        </w:rPr>
      </w:pPr>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p>
    <w:p>
      <w:pPr>
        <w:spacing w:line="500" w:lineRule="exact"/>
        <w:rPr>
          <w:rFonts w:asciiTheme="minorEastAsia" w:hAnsiTheme="minorEastAsia" w:eastAsiaTheme="minorEastAsia"/>
          <w:bCs/>
          <w:sz w:val="24"/>
        </w:rPr>
      </w:pPr>
    </w:p>
    <w:p>
      <w:pPr>
        <w:spacing w:line="500" w:lineRule="exact"/>
        <w:rPr>
          <w:rFonts w:asciiTheme="minorEastAsia" w:hAnsiTheme="minorEastAsia" w:eastAsiaTheme="minorEastAsia"/>
          <w:bCs/>
          <w:sz w:val="24"/>
        </w:rPr>
      </w:pPr>
    </w:p>
    <w:p>
      <w:pPr>
        <w:spacing w:line="500" w:lineRule="exact"/>
        <w:rPr>
          <w:rFonts w:asciiTheme="minorEastAsia" w:hAnsiTheme="minorEastAsia" w:eastAsiaTheme="minorEastAsia"/>
          <w:bCs/>
          <w:sz w:val="24"/>
        </w:rPr>
      </w:pPr>
      <w:r>
        <w:rPr>
          <w:rFonts w:hint="eastAsia" w:ascii="宋体" w:hAnsi="宋体"/>
          <w:b/>
          <w:bCs/>
          <w:sz w:val="24"/>
        </w:rPr>
        <w:t xml:space="preserve">  </w:t>
      </w:r>
    </w:p>
    <w:p>
      <w:pPr>
        <w:spacing w:line="500" w:lineRule="exact"/>
        <w:rPr>
          <w:rFonts w:asciiTheme="minorEastAsia" w:hAnsiTheme="minorEastAsia" w:eastAsiaTheme="minorEastAsia"/>
          <w:bCs/>
          <w:sz w:val="24"/>
        </w:rPr>
      </w:pPr>
    </w:p>
    <w:p>
      <w:pPr>
        <w:pStyle w:val="6"/>
        <w:spacing w:line="360" w:lineRule="auto"/>
        <w:ind w:firstLine="0" w:firstLineChars="0"/>
        <w:rPr>
          <w:rFonts w:asciiTheme="minorEastAsia" w:hAnsiTheme="minorEastAsia" w:eastAsiaTheme="minorEastAsia"/>
          <w:b/>
          <w:sz w:val="24"/>
        </w:rPr>
      </w:pPr>
    </w:p>
    <w:p>
      <w:pPr>
        <w:pStyle w:val="2"/>
        <w:spacing w:line="400" w:lineRule="exact"/>
        <w:jc w:val="center"/>
        <w:rPr>
          <w:rFonts w:asciiTheme="minorEastAsia" w:hAnsiTheme="minorEastAsia" w:eastAsiaTheme="minorEastAsia"/>
          <w:sz w:val="24"/>
          <w:szCs w:val="24"/>
        </w:rPr>
      </w:pPr>
      <w:bookmarkStart w:id="670" w:name="_Toc2602462"/>
      <w:r>
        <w:rPr>
          <w:rFonts w:hint="eastAsia" w:asciiTheme="minorEastAsia" w:hAnsiTheme="minorEastAsia" w:eastAsiaTheme="minorEastAsia"/>
          <w:sz w:val="36"/>
          <w:szCs w:val="36"/>
        </w:rPr>
        <w:t>第七章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评标办法</w:t>
      </w:r>
      <w:bookmarkEnd w:id="670"/>
    </w:p>
    <w:bookmarkEnd w:id="667"/>
    <w:bookmarkEnd w:id="668"/>
    <w:bookmarkEnd w:id="669"/>
    <w:p>
      <w:pPr>
        <w:pStyle w:val="50"/>
        <w:spacing w:beforeLines="0" w:afterLines="0" w:line="400" w:lineRule="exact"/>
        <w:ind w:firstLine="482"/>
        <w:rPr>
          <w:rFonts w:asciiTheme="minorEastAsia" w:hAnsiTheme="minorEastAsia" w:eastAsiaTheme="minorEastAsia"/>
          <w:b/>
          <w:sz w:val="24"/>
        </w:rPr>
      </w:pPr>
      <w:bookmarkStart w:id="671" w:name="_Toc217446099"/>
      <w:r>
        <w:rPr>
          <w:rFonts w:asciiTheme="minorEastAsia" w:hAnsiTheme="minorEastAsia" w:eastAsiaTheme="minorEastAsia"/>
          <w:b/>
          <w:sz w:val="24"/>
        </w:rPr>
        <w:t xml:space="preserve">1. </w:t>
      </w:r>
      <w:r>
        <w:rPr>
          <w:rFonts w:hint="eastAsia" w:asciiTheme="minorEastAsia" w:hAnsiTheme="minorEastAsia" w:eastAsiaTheme="minorEastAsia"/>
          <w:b/>
          <w:sz w:val="24"/>
        </w:rPr>
        <w:t>总则</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 </w:t>
      </w:r>
      <w:r>
        <w:rPr>
          <w:rFonts w:hint="eastAsia" w:asciiTheme="minorEastAsia" w:hAnsiTheme="minorEastAsia" w:eastAsiaTheme="minorEastAsia"/>
          <w:sz w:val="24"/>
        </w:rPr>
        <w:t>根据《中华人民共和国政府采购法》、《中华人民共和国政府采购法实施条例》、</w:t>
      </w:r>
      <w:r>
        <w:rPr>
          <w:rFonts w:asciiTheme="minorEastAsia" w:hAnsiTheme="minorEastAsia" w:eastAsiaTheme="minorEastAsia"/>
          <w:sz w:val="24"/>
        </w:rPr>
        <w:t xml:space="preserve"> </w:t>
      </w:r>
      <w:r>
        <w:rPr>
          <w:rFonts w:hint="eastAsia" w:asciiTheme="minorEastAsia" w:hAnsiTheme="minorEastAsia" w:eastAsiaTheme="minorEastAsia"/>
          <w:sz w:val="24"/>
        </w:rPr>
        <w:t>《政府采购货物和服务招标投标管理办法》等法律制度</w:t>
      </w:r>
      <w:r>
        <w:rPr>
          <w:rFonts w:asciiTheme="minorEastAsia" w:hAnsiTheme="minorEastAsia" w:eastAsiaTheme="minorEastAsia"/>
          <w:sz w:val="24"/>
        </w:rPr>
        <w:t>,</w:t>
      </w:r>
      <w:r>
        <w:rPr>
          <w:rFonts w:hint="eastAsia" w:asciiTheme="minorEastAsia" w:hAnsiTheme="minorEastAsia" w:eastAsiaTheme="minorEastAsia"/>
          <w:sz w:val="24"/>
        </w:rPr>
        <w:t>结合采购项目特点制定本评标办法。</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1.2 </w:t>
      </w:r>
      <w:r>
        <w:rPr>
          <w:rFonts w:hint="eastAsia" w:asciiTheme="minorEastAsia" w:hAnsiTheme="minorEastAsia" w:eastAsiaTheme="minorEastAsia"/>
          <w:sz w:val="24"/>
        </w:rPr>
        <w:t>根据《政府采购货物和服务招标投标管理办法》第四十四条规定</w:t>
      </w:r>
      <w:r>
        <w:rPr>
          <w:rFonts w:asciiTheme="minorEastAsia" w:hAnsiTheme="minorEastAsia" w:eastAsiaTheme="minorEastAsia"/>
          <w:sz w:val="24"/>
        </w:rPr>
        <w:t>,</w:t>
      </w:r>
      <w:r>
        <w:rPr>
          <w:rFonts w:hint="eastAsia" w:asciiTheme="minorEastAsia" w:hAnsiTheme="minorEastAsia" w:eastAsiaTheme="minorEastAsia"/>
          <w:sz w:val="24"/>
        </w:rPr>
        <w:t>公开招标采购项目开标结束后</w:t>
      </w:r>
      <w:r>
        <w:rPr>
          <w:rFonts w:asciiTheme="minorEastAsia" w:hAnsiTheme="minorEastAsia" w:eastAsiaTheme="minorEastAsia"/>
          <w:sz w:val="24"/>
        </w:rPr>
        <w:t>,</w:t>
      </w:r>
      <w:r>
        <w:rPr>
          <w:rFonts w:hint="eastAsia" w:asciiTheme="minorEastAsia" w:hAnsiTheme="minorEastAsia" w:eastAsiaTheme="minorEastAsia"/>
          <w:sz w:val="24"/>
        </w:rPr>
        <w:t>由采购人依法对投标人的资格进行审查。</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 </w:t>
      </w:r>
      <w:r>
        <w:rPr>
          <w:rFonts w:hint="eastAsia" w:asciiTheme="minorEastAsia" w:hAnsiTheme="minorEastAsia" w:eastAsiaTheme="minorEastAsia"/>
          <w:sz w:val="24"/>
        </w:rPr>
        <w:t>资格性检查。</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采购人或采购代理机构应依据法律法规和本招标文件的规定</w:t>
      </w:r>
      <w:r>
        <w:rPr>
          <w:rFonts w:asciiTheme="minorEastAsia" w:hAnsiTheme="minorEastAsia" w:eastAsiaTheme="minorEastAsia"/>
          <w:sz w:val="24"/>
        </w:rPr>
        <w:t>,</w:t>
      </w:r>
      <w:r>
        <w:rPr>
          <w:rFonts w:hint="eastAsia" w:asciiTheme="minorEastAsia" w:hAnsiTheme="minorEastAsia" w:eastAsiaTheme="minorEastAsia"/>
          <w:sz w:val="24"/>
        </w:rPr>
        <w:t>对投标文件是否按照规定要求提供资格性证明材料、是否按照规定完成报名、是否按照规定交纳投标保证金、是否属于禁止参加投标的供应商等进行审查</w:t>
      </w:r>
      <w:r>
        <w:rPr>
          <w:rFonts w:asciiTheme="minorEastAsia" w:hAnsiTheme="minorEastAsia" w:eastAsiaTheme="minorEastAsia"/>
          <w:sz w:val="24"/>
        </w:rPr>
        <w:t>,</w:t>
      </w:r>
      <w:r>
        <w:rPr>
          <w:rFonts w:hint="eastAsia" w:asciiTheme="minorEastAsia" w:hAnsiTheme="minorEastAsia" w:eastAsiaTheme="minorEastAsia"/>
          <w:sz w:val="24"/>
        </w:rPr>
        <w:t>以确定投标供应商是否具备投标资格。合格投标人不足</w:t>
      </w:r>
      <w:r>
        <w:rPr>
          <w:rFonts w:asciiTheme="minorEastAsia" w:hAnsiTheme="minorEastAsia" w:eastAsiaTheme="minorEastAsia"/>
          <w:sz w:val="24"/>
        </w:rPr>
        <w:t xml:space="preserve"> 3 </w:t>
      </w:r>
      <w:r>
        <w:rPr>
          <w:rFonts w:hint="eastAsia" w:asciiTheme="minorEastAsia" w:hAnsiTheme="minorEastAsia" w:eastAsiaTheme="minorEastAsia"/>
          <w:sz w:val="24"/>
        </w:rPr>
        <w:t>家的</w:t>
      </w:r>
      <w:r>
        <w:rPr>
          <w:rFonts w:asciiTheme="minorEastAsia" w:hAnsiTheme="minorEastAsia" w:eastAsiaTheme="minorEastAsia"/>
          <w:sz w:val="24"/>
        </w:rPr>
        <w:t>,</w:t>
      </w:r>
      <w:r>
        <w:rPr>
          <w:rFonts w:hint="eastAsia" w:asciiTheme="minorEastAsia" w:hAnsiTheme="minorEastAsia" w:eastAsiaTheme="minorEastAsia"/>
          <w:sz w:val="24"/>
        </w:rPr>
        <w:t>不得评标。</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 </w:t>
      </w:r>
      <w:r>
        <w:rPr>
          <w:rFonts w:hint="eastAsia" w:asciiTheme="minorEastAsia" w:hAnsiTheme="minorEastAsia" w:eastAsiaTheme="minorEastAsia"/>
          <w:sz w:val="24"/>
        </w:rPr>
        <w:t>评标工作由采购代理机构负责组织</w:t>
      </w:r>
      <w:r>
        <w:rPr>
          <w:rFonts w:asciiTheme="minorEastAsia" w:hAnsiTheme="minorEastAsia" w:eastAsiaTheme="minorEastAsia"/>
          <w:sz w:val="24"/>
        </w:rPr>
        <w:t>,</w:t>
      </w:r>
      <w:r>
        <w:rPr>
          <w:rFonts w:hint="eastAsia" w:asciiTheme="minorEastAsia" w:hAnsiTheme="minorEastAsia" w:eastAsiaTheme="minorEastAsia"/>
          <w:sz w:val="24"/>
        </w:rPr>
        <w:t>具体评标事务由采购代理机构依法组建</w:t>
      </w:r>
      <w:r>
        <w:rPr>
          <w:rFonts w:asciiTheme="minorEastAsia" w:hAnsiTheme="minorEastAsia" w:eastAsiaTheme="minorEastAsia"/>
          <w:sz w:val="24"/>
        </w:rPr>
        <w:t xml:space="preserve"> </w:t>
      </w:r>
      <w:r>
        <w:rPr>
          <w:rFonts w:hint="eastAsia" w:asciiTheme="minorEastAsia" w:hAnsiTheme="minorEastAsia" w:eastAsiaTheme="minorEastAsia"/>
          <w:sz w:val="24"/>
        </w:rPr>
        <w:t>的评标委员会负责。评标委员会由采购人代表和有关技术、经济、法律等方面的专家</w:t>
      </w:r>
      <w:r>
        <w:rPr>
          <w:rFonts w:asciiTheme="minorEastAsia" w:hAnsiTheme="minorEastAsia" w:eastAsiaTheme="minorEastAsia"/>
          <w:sz w:val="24"/>
        </w:rPr>
        <w:t xml:space="preserve"> </w:t>
      </w:r>
      <w:r>
        <w:rPr>
          <w:rFonts w:hint="eastAsia" w:asciiTheme="minorEastAsia" w:hAnsiTheme="minorEastAsia" w:eastAsiaTheme="minorEastAsia"/>
          <w:sz w:val="24"/>
        </w:rPr>
        <w:t>组成。</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 </w:t>
      </w:r>
      <w:r>
        <w:rPr>
          <w:rFonts w:hint="eastAsia" w:asciiTheme="minorEastAsia" w:hAnsiTheme="minorEastAsia" w:eastAsiaTheme="minorEastAsia"/>
          <w:sz w:val="24"/>
        </w:rPr>
        <w:t>评标工作应遵循公平、公正、科学及择优的原则</w:t>
      </w:r>
      <w:r>
        <w:rPr>
          <w:rFonts w:asciiTheme="minorEastAsia" w:hAnsiTheme="minorEastAsia" w:eastAsiaTheme="minorEastAsia"/>
          <w:sz w:val="24"/>
        </w:rPr>
        <w:t>,</w:t>
      </w:r>
      <w:r>
        <w:rPr>
          <w:rFonts w:hint="eastAsia" w:asciiTheme="minorEastAsia" w:hAnsiTheme="minorEastAsia" w:eastAsiaTheme="minorEastAsia"/>
          <w:sz w:val="24"/>
        </w:rPr>
        <w:t>并以相同的评标程序和标</w:t>
      </w:r>
      <w:r>
        <w:rPr>
          <w:rFonts w:asciiTheme="minorEastAsia" w:hAnsiTheme="minorEastAsia" w:eastAsiaTheme="minorEastAsia"/>
          <w:sz w:val="24"/>
        </w:rPr>
        <w:t xml:space="preserve"> </w:t>
      </w:r>
      <w:r>
        <w:rPr>
          <w:rFonts w:hint="eastAsia" w:asciiTheme="minorEastAsia" w:hAnsiTheme="minorEastAsia" w:eastAsiaTheme="minorEastAsia"/>
          <w:sz w:val="24"/>
        </w:rPr>
        <w:t>准对待所有的投标人。</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 </w:t>
      </w:r>
      <w:r>
        <w:rPr>
          <w:rFonts w:hint="eastAsia" w:asciiTheme="minorEastAsia" w:hAnsiTheme="minorEastAsia" w:eastAsiaTheme="minorEastAsia"/>
          <w:sz w:val="24"/>
        </w:rPr>
        <w:t>评标委员会按照招标文件规定的评标方法和标准进行评标</w:t>
      </w:r>
      <w:r>
        <w:rPr>
          <w:rFonts w:asciiTheme="minorEastAsia" w:hAnsiTheme="minorEastAsia" w:eastAsiaTheme="minorEastAsia"/>
          <w:sz w:val="24"/>
        </w:rPr>
        <w:t xml:space="preserve">, </w:t>
      </w:r>
      <w:r>
        <w:rPr>
          <w:rFonts w:hint="eastAsia" w:asciiTheme="minorEastAsia" w:hAnsiTheme="minorEastAsia" w:eastAsiaTheme="minorEastAsia"/>
          <w:sz w:val="24"/>
        </w:rPr>
        <w:t>评标委员会负责具体评标事务</w:t>
      </w:r>
      <w:r>
        <w:rPr>
          <w:rFonts w:asciiTheme="minorEastAsia" w:hAnsiTheme="minorEastAsia" w:eastAsiaTheme="minorEastAsia"/>
          <w:sz w:val="24"/>
        </w:rPr>
        <w:t>,</w:t>
      </w:r>
      <w:r>
        <w:rPr>
          <w:rFonts w:hint="eastAsia" w:asciiTheme="minorEastAsia" w:hAnsiTheme="minorEastAsia" w:eastAsiaTheme="minorEastAsia"/>
          <w:sz w:val="24"/>
        </w:rPr>
        <w:t>并独立履行下列职责</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一</w:t>
      </w:r>
      <w:r>
        <w:rPr>
          <w:rFonts w:asciiTheme="minorEastAsia" w:hAnsiTheme="minorEastAsia" w:eastAsiaTheme="minorEastAsia"/>
          <w:sz w:val="24"/>
        </w:rPr>
        <w:t>)</w:t>
      </w:r>
      <w:r>
        <w:rPr>
          <w:rFonts w:hint="eastAsia" w:asciiTheme="minorEastAsia" w:hAnsiTheme="minorEastAsia" w:eastAsiaTheme="minorEastAsia"/>
          <w:sz w:val="24"/>
        </w:rPr>
        <w:t>审查、评价投标文件是否符合招标文件的商务、技术等实质性要求</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二</w:t>
      </w:r>
      <w:r>
        <w:rPr>
          <w:rFonts w:asciiTheme="minorEastAsia" w:hAnsiTheme="minorEastAsia" w:eastAsiaTheme="minorEastAsia"/>
          <w:sz w:val="24"/>
        </w:rPr>
        <w:t>)</w:t>
      </w:r>
      <w:r>
        <w:rPr>
          <w:rFonts w:hint="eastAsia" w:asciiTheme="minorEastAsia" w:hAnsiTheme="minorEastAsia" w:eastAsiaTheme="minorEastAsia"/>
          <w:sz w:val="24"/>
        </w:rPr>
        <w:t>要求投标人对投标文件有关事项作出澄清或者说明</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三</w:t>
      </w:r>
      <w:r>
        <w:rPr>
          <w:rFonts w:asciiTheme="minorEastAsia" w:hAnsiTheme="minorEastAsia" w:eastAsiaTheme="minorEastAsia"/>
          <w:sz w:val="24"/>
        </w:rPr>
        <w:t>)</w:t>
      </w:r>
      <w:r>
        <w:rPr>
          <w:rFonts w:hint="eastAsia" w:asciiTheme="minorEastAsia" w:hAnsiTheme="minorEastAsia" w:eastAsiaTheme="minorEastAsia"/>
          <w:sz w:val="24"/>
        </w:rPr>
        <w:t>对投标文件进行比较和评价</w:t>
      </w:r>
      <w:r>
        <w:rPr>
          <w:rFonts w:asciiTheme="minorEastAsia" w:hAnsiTheme="minorEastAsia" w:eastAsiaTheme="minorEastAsia"/>
          <w:sz w:val="24"/>
        </w:rPr>
        <w:t>;</w:t>
      </w:r>
    </w:p>
    <w:p>
      <w:pPr>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四</w:t>
      </w:r>
      <w:r>
        <w:rPr>
          <w:rFonts w:asciiTheme="minorEastAsia" w:hAnsiTheme="minorEastAsia" w:eastAsiaTheme="minorEastAsia"/>
          <w:sz w:val="24"/>
        </w:rPr>
        <w:t>)</w:t>
      </w:r>
      <w:r>
        <w:rPr>
          <w:rFonts w:hint="eastAsia" w:asciiTheme="minorEastAsia" w:hAnsiTheme="minorEastAsia" w:eastAsiaTheme="minorEastAsia"/>
          <w:sz w:val="24"/>
        </w:rPr>
        <w:t>确定中标候选人名单</w:t>
      </w:r>
      <w:r>
        <w:rPr>
          <w:rFonts w:asciiTheme="minorEastAsia" w:hAnsiTheme="minorEastAsia" w:eastAsiaTheme="minorEastAsia"/>
          <w:sz w:val="24"/>
        </w:rPr>
        <w:t>,</w:t>
      </w:r>
      <w:r>
        <w:rPr>
          <w:rFonts w:hint="eastAsia" w:asciiTheme="minorEastAsia" w:hAnsiTheme="minorEastAsia" w:eastAsiaTheme="minorEastAsia"/>
          <w:sz w:val="24"/>
        </w:rPr>
        <w:t>以及根据采购人委托直接确定中标人</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五</w:t>
      </w:r>
      <w:r>
        <w:rPr>
          <w:rFonts w:asciiTheme="minorEastAsia" w:hAnsiTheme="minorEastAsia" w:eastAsiaTheme="minorEastAsia"/>
          <w:sz w:val="24"/>
        </w:rPr>
        <w:t>)</w:t>
      </w:r>
      <w:r>
        <w:rPr>
          <w:rFonts w:hint="eastAsia" w:asciiTheme="minorEastAsia" w:hAnsiTheme="minorEastAsia" w:eastAsiaTheme="minorEastAsia"/>
          <w:sz w:val="24"/>
        </w:rPr>
        <w:t>向采购人、采购代理机构或者有关部门报告评标中发现的违法行为。</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1.7 </w:t>
      </w:r>
      <w:r>
        <w:rPr>
          <w:rFonts w:hint="eastAsia" w:asciiTheme="minorEastAsia" w:hAnsiTheme="minorEastAsia" w:eastAsiaTheme="minorEastAsia"/>
          <w:sz w:val="24"/>
        </w:rPr>
        <w:t>评标过程独立、保密。投标人非法干预评标过程的行为将导致其投标文件作</w:t>
      </w:r>
      <w:r>
        <w:rPr>
          <w:rFonts w:asciiTheme="minorEastAsia" w:hAnsiTheme="minorEastAsia" w:eastAsiaTheme="minorEastAsia"/>
          <w:sz w:val="24"/>
        </w:rPr>
        <w:t xml:space="preserve"> </w:t>
      </w:r>
      <w:r>
        <w:rPr>
          <w:rFonts w:hint="eastAsia" w:asciiTheme="minorEastAsia" w:hAnsiTheme="minorEastAsia" w:eastAsiaTheme="minorEastAsia"/>
          <w:sz w:val="24"/>
        </w:rPr>
        <w:t>为无效处理。</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 </w:t>
      </w:r>
      <w:r>
        <w:rPr>
          <w:rFonts w:hint="eastAsia" w:asciiTheme="minorEastAsia" w:hAnsiTheme="minorEastAsia" w:eastAsiaTheme="minorEastAsia"/>
          <w:sz w:val="24"/>
        </w:rPr>
        <w:t>评标委员会评价投标文件的响应性</w:t>
      </w:r>
      <w:r>
        <w:rPr>
          <w:rFonts w:asciiTheme="minorEastAsia" w:hAnsiTheme="minorEastAsia" w:eastAsiaTheme="minorEastAsia"/>
          <w:sz w:val="24"/>
        </w:rPr>
        <w:t>,</w:t>
      </w:r>
      <w:r>
        <w:rPr>
          <w:rFonts w:hint="eastAsia" w:asciiTheme="minorEastAsia" w:hAnsiTheme="minorEastAsia" w:eastAsiaTheme="minorEastAsia"/>
          <w:sz w:val="24"/>
        </w:rPr>
        <w:t>对于投标人而言</w:t>
      </w:r>
      <w:r>
        <w:rPr>
          <w:rFonts w:asciiTheme="minorEastAsia" w:hAnsiTheme="minorEastAsia" w:eastAsiaTheme="minorEastAsia"/>
          <w:sz w:val="24"/>
        </w:rPr>
        <w:t>,</w:t>
      </w:r>
      <w:r>
        <w:rPr>
          <w:rFonts w:hint="eastAsia" w:asciiTheme="minorEastAsia" w:hAnsiTheme="minorEastAsia" w:eastAsiaTheme="minorEastAsia"/>
          <w:sz w:val="24"/>
        </w:rPr>
        <w:t>除评标委员会要求其澄</w:t>
      </w:r>
      <w:r>
        <w:rPr>
          <w:rFonts w:asciiTheme="minorEastAsia" w:hAnsiTheme="minorEastAsia" w:eastAsiaTheme="minorEastAsia"/>
          <w:sz w:val="24"/>
        </w:rPr>
        <w:t xml:space="preserve"> </w:t>
      </w:r>
      <w:r>
        <w:rPr>
          <w:rFonts w:hint="eastAsia" w:asciiTheme="minorEastAsia" w:hAnsiTheme="minorEastAsia" w:eastAsiaTheme="minorEastAsia"/>
          <w:sz w:val="24"/>
        </w:rPr>
        <w:t>清、说明或者更正而提供的资料外</w:t>
      </w:r>
      <w:r>
        <w:rPr>
          <w:rFonts w:asciiTheme="minorEastAsia" w:hAnsiTheme="minorEastAsia" w:eastAsiaTheme="minorEastAsia"/>
          <w:sz w:val="24"/>
        </w:rPr>
        <w:t>,</w:t>
      </w:r>
      <w:r>
        <w:rPr>
          <w:rFonts w:hint="eastAsia" w:asciiTheme="minorEastAsia" w:hAnsiTheme="minorEastAsia" w:eastAsiaTheme="minorEastAsia"/>
          <w:sz w:val="24"/>
        </w:rPr>
        <w:t>仅依据投标文件本身的内容</w:t>
      </w:r>
      <w:r>
        <w:rPr>
          <w:rFonts w:asciiTheme="minorEastAsia" w:hAnsiTheme="minorEastAsia" w:eastAsiaTheme="minorEastAsia"/>
          <w:sz w:val="24"/>
        </w:rPr>
        <w:t>,</w:t>
      </w:r>
      <w:r>
        <w:rPr>
          <w:rFonts w:hint="eastAsia" w:asciiTheme="minorEastAsia" w:hAnsiTheme="minorEastAsia" w:eastAsiaTheme="minorEastAsia"/>
          <w:sz w:val="24"/>
        </w:rPr>
        <w:t>不寻求其他外部证据。</w:t>
      </w:r>
      <w:r>
        <w:rPr>
          <w:rFonts w:asciiTheme="minorEastAsia" w:hAnsiTheme="minorEastAsia" w:eastAsiaTheme="minorEastAsia"/>
          <w:sz w:val="24"/>
        </w:rPr>
        <w:t xml:space="preserve"> </w:t>
      </w:r>
      <w:bookmarkStart w:id="672" w:name="_Toc217446098"/>
    </w:p>
    <w:p>
      <w:pPr>
        <w:spacing w:before="260" w:after="260" w:line="4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本项目评标方法为：综合评分法。</w:t>
      </w:r>
    </w:p>
    <w:p>
      <w:pPr>
        <w:spacing w:before="260" w:after="260" w:line="40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b/>
          <w:sz w:val="24"/>
        </w:rPr>
        <w:t xml:space="preserve"> </w:t>
      </w:r>
      <w:r>
        <w:rPr>
          <w:rFonts w:hint="eastAsia" w:asciiTheme="minorEastAsia" w:hAnsiTheme="minorEastAsia" w:eastAsiaTheme="minorEastAsia"/>
          <w:b/>
          <w:sz w:val="24"/>
        </w:rPr>
        <w:t>评标程序</w:t>
      </w:r>
      <w:bookmarkEnd w:id="672"/>
    </w:p>
    <w:p>
      <w:pPr>
        <w:spacing w:line="400" w:lineRule="exact"/>
        <w:ind w:firstLine="480" w:firstLineChars="200"/>
        <w:rPr>
          <w:rFonts w:asciiTheme="minorEastAsia" w:hAnsiTheme="minorEastAsia" w:eastAsiaTheme="minorEastAsia"/>
          <w:sz w:val="24"/>
        </w:rPr>
      </w:pPr>
      <w:bookmarkStart w:id="673" w:name="_Toc217446103"/>
      <w:r>
        <w:rPr>
          <w:rFonts w:asciiTheme="minorEastAsia" w:hAnsiTheme="minorEastAsia" w:eastAsiaTheme="minorEastAsia"/>
          <w:sz w:val="24"/>
        </w:rPr>
        <w:t>3.1</w:t>
      </w:r>
      <w:r>
        <w:rPr>
          <w:rFonts w:hint="eastAsia" w:asciiTheme="minorEastAsia" w:hAnsiTheme="minorEastAsia" w:eastAsiaTheme="minorEastAsia"/>
          <w:sz w:val="24"/>
        </w:rPr>
        <w:t>熟悉和理解招标文件和停止评标。</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3.1.1</w:t>
      </w:r>
      <w:r>
        <w:rPr>
          <w:rFonts w:hint="eastAsia" w:asciiTheme="minorEastAsia" w:hAnsiTheme="minorEastAsia" w:eastAsiaTheme="minorEastAsia"/>
          <w:sz w:val="24"/>
        </w:rPr>
        <w:t>评标委员会正式评标前，应当对招标文件进行熟悉和理解，内容主要包括招标文件中投标人资格条件要求、采购项目技术、服务和商务要求、评标方法和标准以及可能涉及签订采购合同的内容等。</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3.1.2</w:t>
      </w:r>
      <w:r>
        <w:rPr>
          <w:rFonts w:hint="eastAsia" w:asciiTheme="minorEastAsia" w:hAnsiTheme="minorEastAsia" w:eastAsiaTheme="minorEastAsia"/>
          <w:sz w:val="24"/>
        </w:rPr>
        <w:t>评标委员会熟悉和理解招标文件以及评标过程中，发现本招标文件有下列情形之一的，评标委员会应当停止评标：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）招标文件的规定存在歧义、重大缺陷的；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）招标文件明显以不合理条件对供应商实行差别待遇或者歧视待遇的；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）采购项目属于国家规定的优先、强制采购范围，但是招标文件未依法体现优先、强制采购相关规定的；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）采购项目属于政府采购促进中小企业发展的范围，但是招标文件未依法体现促进中小企业发展相关规定的；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）招标文件将投标人的资格条件列为评分因素的；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）招标文件有违反国家其他有关强制性规定的情形。</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3.1.3</w:t>
      </w:r>
      <w:r>
        <w:rPr>
          <w:rFonts w:hint="eastAsia" w:asciiTheme="minorEastAsia" w:hAnsiTheme="minorEastAsia" w:eastAsiaTheme="minorEastAsia"/>
          <w:sz w:val="24"/>
        </w:rPr>
        <w:t>出现本条</w:t>
      </w:r>
      <w:r>
        <w:rPr>
          <w:rFonts w:asciiTheme="minorEastAsia" w:hAnsiTheme="minorEastAsia" w:eastAsiaTheme="minorEastAsia"/>
          <w:sz w:val="24"/>
        </w:rPr>
        <w:t>3.1.2</w:t>
      </w:r>
      <w:r>
        <w:rPr>
          <w:rFonts w:hint="eastAsia" w:asciiTheme="minorEastAsia" w:hAnsiTheme="minorEastAsia" w:eastAsiaTheme="minorEastAsia"/>
          <w:sz w:val="24"/>
        </w:rPr>
        <w:t>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符合性检查。</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3.2.1</w:t>
      </w:r>
      <w:r>
        <w:rPr>
          <w:rFonts w:hint="eastAsia" w:asciiTheme="minorEastAsia" w:hAnsiTheme="minorEastAsia" w:eastAsiaTheme="minorEastAsia"/>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3.2.2</w:t>
      </w:r>
      <w:r>
        <w:rPr>
          <w:rFonts w:hint="eastAsia" w:asciiTheme="minorEastAsia" w:hAnsiTheme="minorEastAsia" w:eastAsiaTheme="minorEastAsia"/>
          <w:sz w:val="24"/>
        </w:rPr>
        <w:t>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（一）正副本数量齐全、密封完好，只是未按照招标文件要求进行分装或者统装的；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（二）存在个别地方（不超过</w:t>
      </w:r>
      <w:r>
        <w:rPr>
          <w:rFonts w:asciiTheme="minorEastAsia" w:hAnsiTheme="minorEastAsia" w:eastAsiaTheme="minorEastAsia"/>
          <w:sz w:val="24"/>
        </w:rPr>
        <w:t>2</w:t>
      </w:r>
      <w:r>
        <w:rPr>
          <w:rFonts w:hint="eastAsia" w:asciiTheme="minorEastAsia" w:hAnsiTheme="minorEastAsia" w:eastAsiaTheme="minorEastAsia"/>
          <w:sz w:val="24"/>
        </w:rPr>
        <w:t>个）没有法定代表人签字，但有法定代表人的私人印章或者有效授权代理人签字的；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（三）除招标文件明确要求加盖单位</w:t>
      </w:r>
      <w:r>
        <w:rPr>
          <w:rFonts w:asciiTheme="minorEastAsia" w:hAnsiTheme="minorEastAsia" w:eastAsiaTheme="minorEastAsia"/>
          <w:sz w:val="24"/>
        </w:rPr>
        <w:t>(</w:t>
      </w:r>
      <w:r>
        <w:rPr>
          <w:rFonts w:hint="eastAsia" w:asciiTheme="minorEastAsia" w:hAnsiTheme="minorEastAsia" w:eastAsiaTheme="minorEastAsia"/>
          <w:sz w:val="24"/>
        </w:rPr>
        <w:t>法人</w:t>
      </w:r>
      <w:r>
        <w:rPr>
          <w:rFonts w:asciiTheme="minorEastAsia" w:hAnsiTheme="minorEastAsia" w:eastAsiaTheme="minorEastAsia"/>
          <w:sz w:val="24"/>
        </w:rPr>
        <w:t>)</w:t>
      </w:r>
      <w:r>
        <w:rPr>
          <w:rFonts w:hint="eastAsia" w:asciiTheme="minorEastAsia" w:hAnsiTheme="minorEastAsia" w:eastAsiaTheme="minorEastAsia"/>
          <w:sz w:val="24"/>
        </w:rPr>
        <w:t>公章的以外，其他地方以相关专用章加盖的；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（四）以骑缝章的形式代替投标文件内容逐页盖章的（但是骑缝章模糊不清，印章名称无法辨认的除外）；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（五）其他不影响采购项目实质性要求的情形。</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3.2.3</w:t>
      </w:r>
      <w:r>
        <w:rPr>
          <w:rFonts w:hint="eastAsia" w:asciiTheme="minorEastAsia" w:hAnsiTheme="minorEastAsia" w:eastAsiaTheme="minorEastAsia"/>
          <w:sz w:val="24"/>
        </w:rPr>
        <w:t>除采购法律制度规定的情形外，本项目投标人或者其投标文件有下列情形之一的，作为无效投标处理：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（一）投标文件正副本数量不足的；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（二）投标文件未按照招标文件要求签署、盖章的；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（三）投标文件组成明显不符合招标文件的规定要求，影响评标委员会评判的；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（四）投标文件的格式、语言、计量单位、报价货币、知识产权、投标有效期等不符合招标文件的规定，影响评标委员会评判的；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（五）投标报价不符合招标文件规定的价格标底和其他报价规定的；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技术应答内容完全或者绝大部分复制招标文件规定要求，且无相关证明材料的（主要适用于专用设备和电子信息化建设采购项目，采购工程、采购协议供货或定点供应商采购、采购的货物属于规格标准统一或者订制产品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（七）技术、服务应答内容没有完全响应招标文件的实质性要求的；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（八）招标文件有明确要求，但投标文件未载明或者载明的采购项目履约时间、方式、数量与招标文件要求不一致的。</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比较与评价。按招标文件中规定的评标方法和标准，对未作无效投标处理的投标文件进行技术、服务、商务等方面评估，综合比较与评价。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3.4</w:t>
      </w:r>
      <w:r>
        <w:rPr>
          <w:rFonts w:hint="eastAsia" w:asciiTheme="minorEastAsia" w:hAnsiTheme="minorEastAsia" w:eastAsiaTheme="minorEastAsia"/>
          <w:sz w:val="24"/>
        </w:rPr>
        <w:t>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3.5</w:t>
      </w:r>
      <w:r>
        <w:rPr>
          <w:rFonts w:hint="eastAsia" w:asciiTheme="minorEastAsia" w:hAnsiTheme="minorEastAsia" w:eastAsiaTheme="minorEastAsia"/>
          <w:sz w:val="24"/>
        </w:rPr>
        <w:t>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评标委员会可推荐的中标候选供应商数量不能满足招标文件规定的数量的，只有在获得采购人书面同意后，可以根据实际情况推荐中标候选供应商。未获得采购人的书面同意</w:t>
      </w:r>
      <w:r>
        <w:rPr>
          <w:rFonts w:asciiTheme="minorEastAsia" w:hAnsiTheme="minorEastAsia" w:eastAsiaTheme="minorEastAsia"/>
          <w:sz w:val="24"/>
        </w:rPr>
        <w:t>,</w:t>
      </w:r>
      <w:r>
        <w:rPr>
          <w:rFonts w:hint="eastAsia" w:asciiTheme="minorEastAsia" w:hAnsiTheme="minorEastAsia" w:eastAsiaTheme="minorEastAsia"/>
          <w:sz w:val="24"/>
        </w:rPr>
        <w:t>评标委员会不得在招标文件规定之外推荐中标候选供应商，否则，采购人可以不予认可。</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3.6</w:t>
      </w:r>
      <w:r>
        <w:rPr>
          <w:rFonts w:hint="eastAsia" w:asciiTheme="minorEastAsia" w:hAnsiTheme="minorEastAsia" w:eastAsiaTheme="minorEastAsia"/>
          <w:sz w:val="24"/>
        </w:rPr>
        <w:t>出具评标报告。评标委员会推荐中标候选供应商后，应当向招标采购单位出具评标报告。评标报告应当包括下列内容：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（一）招标公告刊登的媒体名称、开标日期和地点；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（二）投标人名单和评标委员会成员名单；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（三）评标方法和标准；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（四）开标记录和评标情况及说明，包括无效投标人名单及原因；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（五）评标结果，确定的中标候选人名单或者经采购人委托直接确定的中标人；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（六）其他需要说明的情况，包括评标过程中投标人根据评标委员会要求进行的澄清、说明或者补正，评标委员会成员的更换等。</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3.7</w:t>
      </w:r>
      <w:r>
        <w:rPr>
          <w:rFonts w:hint="eastAsia" w:asciiTheme="minorEastAsia" w:hAnsiTheme="minorEastAsia" w:eastAsiaTheme="minorEastAsia"/>
          <w:sz w:val="24"/>
        </w:rPr>
        <w:t>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w:t>
      </w:r>
      <w:r>
        <w:rPr>
          <w:rFonts w:hint="eastAsia" w:asciiTheme="minorEastAsia" w:hAnsiTheme="minorEastAsia" w:eastAsiaTheme="minorEastAsia"/>
          <w:sz w:val="24"/>
        </w:rPr>
        <w:t>供应商应当书面澄清、说明或者更正。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3.8.1</w:t>
      </w:r>
      <w:r>
        <w:rPr>
          <w:rFonts w:hint="eastAsia" w:asciiTheme="minorEastAsia" w:hAnsiTheme="minorEastAsia" w:eastAsiaTheme="minorEastAsia"/>
          <w:sz w:val="24"/>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3.8.2</w:t>
      </w:r>
      <w:r>
        <w:rPr>
          <w:rFonts w:hint="eastAsia" w:asciiTheme="minorEastAsia" w:hAnsiTheme="minorEastAsia" w:eastAsiaTheme="minorEastAsia"/>
          <w:sz w:val="24"/>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3.8.3</w:t>
      </w:r>
      <w:r>
        <w:rPr>
          <w:rFonts w:hint="eastAsia" w:asciiTheme="minorEastAsia" w:hAnsiTheme="minorEastAsia" w:eastAsiaTheme="minorEastAsia"/>
          <w:sz w:val="24"/>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（一）按财政部规定应当在评标时不予承认的投标文件内容事项；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（二）投标文件中已经明确的内容事项；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（三）投标文件未提供的材料。</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3.8.4 </w:t>
      </w:r>
      <w:r>
        <w:rPr>
          <w:rFonts w:hint="eastAsia" w:asciiTheme="minorEastAsia" w:hAnsiTheme="minorEastAsia" w:eastAsiaTheme="minorEastAsia"/>
          <w:sz w:val="24"/>
        </w:rPr>
        <w:t>本项目采购过程中，投标文件出现下列情况的，不需要供应商澄清、说明或者更正，按照以下原则处理：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（一）投标文件的大写金额和小写金额不一致的，以大写金额为准，但大写金额出现文字错误，导致金额无法判断的除外；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（三）单价金额小数点有明显错位的，应以总价为准，并修改单价；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（四）对不同语言文本投标文件的解释发生异议的，以中文文本为准。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出现本条第（二）项规定情形，单价汇总金额比总价金额高，且超过采购预算或者本项目最高限价的，供应商投标文件应作为无效投标处理；单价汇总金额比总价金额高，但未超过采购预算或者本项目最高限价的，应以单价汇总金额作为价格评分依据。</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注：评标委员会当积极履行澄清、说明或者更正的职责，不得滥用权力。供应商的投标文件可以要求澄清、说明或者更正的，不得未经澄清、说明或者更正而直接作无效投标处理。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 xml:space="preserve">3.9 </w:t>
      </w:r>
      <w:r>
        <w:rPr>
          <w:rFonts w:hint="eastAsia" w:asciiTheme="minorEastAsia" w:hAnsiTheme="minorEastAsia" w:eastAsiaTheme="minorEastAsia"/>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w:t>
      </w:r>
      <w:r>
        <w:rPr>
          <w:rFonts w:hint="eastAsia" w:asciiTheme="minorEastAsia" w:hAnsiTheme="minorEastAsia" w:eastAsiaTheme="minorEastAsia"/>
        </w:rPr>
        <w:t>招标采购单位现场复核评标结果。</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3.10.1</w:t>
      </w:r>
      <w:r>
        <w:rPr>
          <w:rFonts w:hint="eastAsia" w:asciiTheme="minorEastAsia" w:hAnsiTheme="minorEastAsia" w:eastAsiaTheme="minorEastAsia"/>
        </w:rPr>
        <w:t>评标结果汇总完成后，评标委员会拟出具评标报告前，采购组织单位应当组织</w:t>
      </w:r>
      <w:r>
        <w:rPr>
          <w:rFonts w:asciiTheme="minorEastAsia" w:hAnsiTheme="minorEastAsia" w:eastAsiaTheme="minorEastAsia"/>
        </w:rPr>
        <w:t>2</w:t>
      </w:r>
      <w:r>
        <w:rPr>
          <w:rFonts w:hint="eastAsia" w:asciiTheme="minorEastAsia" w:hAnsiTheme="minorEastAsia" w:eastAsiaTheme="minorEastAsia"/>
        </w:rPr>
        <w:t>名以上的本单位工作人员，在采购现场监督人员的监督之下，依据有关的法律制度和采购文件对评标结果进行复核，出具复核报告。存在下列情形之一的，采购组织单位应当根据情况书面建议评标委员会现场修改评标结果或者重新评标：</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（一）资格性审查认定错误的；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（二）分值汇总计算错误的；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（三）分项评分超出评分标准范围的；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（四）客观评分不一致的。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存在本条上述规定情形的，由评标委员会自主决定是否采纳采购组织单位的书面建议，并承担独立评审责任。评标委员会采纳采购组织单位书面建议的，应当按照规定现场修改评标结果或者重新评标，并在评标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标结果不合法的，应当书面报告采购项目同级财政部门依法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3.10.2</w:t>
      </w:r>
      <w:r>
        <w:rPr>
          <w:rFonts w:hint="eastAsia" w:asciiTheme="minorEastAsia" w:hAnsiTheme="minorEastAsia" w:eastAsiaTheme="minorEastAsia"/>
        </w:rPr>
        <w:t>有下列情形之一的，不得修改评标结果或者重新评标：</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（一）评标委员会已经出具评标报告并且离开评标现场的；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（二）采购组织单位现场复核时，复核工作人员数量不足的；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（三）采购组织单位现场复核时，没有采购监督人员现场监督的；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（四）采购组织单位现场复核内容超出规定范围的；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（五）采购组织单位未提供书面建议的。</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4. </w:t>
      </w:r>
      <w:r>
        <w:rPr>
          <w:rFonts w:hint="eastAsia" w:asciiTheme="minorEastAsia" w:hAnsiTheme="minorEastAsia" w:eastAsiaTheme="minorEastAsia"/>
          <w:sz w:val="24"/>
        </w:rPr>
        <w:t>评标细则及标准</w:t>
      </w:r>
      <w:bookmarkEnd w:id="673"/>
    </w:p>
    <w:p>
      <w:pPr>
        <w:spacing w:line="4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w:t>
      </w:r>
      <w:r>
        <w:rPr>
          <w:rFonts w:hint="eastAsia" w:cs="宋体" w:asciiTheme="minorEastAsia" w:hAnsiTheme="minorEastAsia" w:eastAsiaTheme="minorEastAsia"/>
          <w:kern w:val="0"/>
          <w:sz w:val="24"/>
        </w:rPr>
        <w:t>本次综合评分的因素是：报价、</w:t>
      </w:r>
      <w:r>
        <w:rPr>
          <w:rFonts w:hint="eastAsia" w:cs="宋体" w:asciiTheme="minorEastAsia" w:hAnsiTheme="minorEastAsia" w:eastAsiaTheme="minorEastAsia"/>
          <w:bCs/>
          <w:color w:val="000000"/>
          <w:sz w:val="24"/>
        </w:rPr>
        <w:t>技术指标和配置、</w:t>
      </w:r>
      <w:r>
        <w:rPr>
          <w:rFonts w:hint="eastAsia" w:cs="宋体" w:asciiTheme="minorEastAsia" w:hAnsiTheme="minorEastAsia" w:eastAsiaTheme="minorEastAsia"/>
          <w:kern w:val="0"/>
          <w:sz w:val="24"/>
        </w:rPr>
        <w:t>项目实施方案、履约能力、配送方案、</w:t>
      </w:r>
      <w:r>
        <w:rPr>
          <w:rFonts w:hint="eastAsia" w:asciiTheme="minorEastAsia" w:hAnsiTheme="minorEastAsia" w:eastAsiaTheme="minorEastAsia"/>
          <w:sz w:val="24"/>
        </w:rPr>
        <w:t>后续服务方案</w:t>
      </w:r>
      <w:r>
        <w:rPr>
          <w:rFonts w:hint="eastAsia" w:cs="宋体" w:asciiTheme="minorEastAsia" w:hAnsiTheme="minorEastAsia" w:eastAsiaTheme="minorEastAsia"/>
          <w:kern w:val="0"/>
          <w:sz w:val="24"/>
        </w:rPr>
        <w:t>、投标文件的规范性等。</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 xml:space="preserve">4.2 </w:t>
      </w:r>
      <w:r>
        <w:rPr>
          <w:rFonts w:hint="eastAsia" w:asciiTheme="minorEastAsia" w:hAnsiTheme="minorEastAsia" w:eastAsiaTheme="minorEastAsia"/>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w:t>
      </w:r>
      <w:r>
        <w:rPr>
          <w:rFonts w:hint="eastAsia" w:asciiTheme="minorEastAsia" w:hAnsiTheme="minorEastAsia" w:eastAsiaTheme="minorEastAsia"/>
        </w:rPr>
        <w:t>综合评分明细表</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4.3.1</w:t>
      </w:r>
      <w:r>
        <w:rPr>
          <w:rFonts w:hint="eastAsia" w:asciiTheme="minorEastAsia" w:hAnsiTheme="minorEastAsia" w:eastAsiaTheme="minorEastAsia"/>
        </w:rPr>
        <w:t>综合评分明细表的制定以科学合理、降低评委会自由裁量权为原则。</w:t>
      </w:r>
    </w:p>
    <w:p>
      <w:pPr>
        <w:widowControl/>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4.3.2</w:t>
      </w:r>
      <w:r>
        <w:rPr>
          <w:rFonts w:hint="eastAsia" w:asciiTheme="minorEastAsia" w:hAnsiTheme="minorEastAsia" w:eastAsiaTheme="minorEastAsia"/>
          <w:sz w:val="24"/>
        </w:rPr>
        <w:t>对记入诚信档案的且在有效期内的失信供应商，在本次采购活动中实行直接从总分中扣分的惩戒方法，且供应商失信行为惩戒实行无限制累加制。存在一次失信行为的，扣</w:t>
      </w:r>
      <w:r>
        <w:rPr>
          <w:rFonts w:asciiTheme="minorEastAsia" w:hAnsiTheme="minorEastAsia" w:eastAsiaTheme="minorEastAsia"/>
          <w:szCs w:val="21"/>
        </w:rPr>
        <w:t>5</w:t>
      </w:r>
      <w:r>
        <w:rPr>
          <w:rFonts w:hint="eastAsia" w:asciiTheme="minorEastAsia" w:hAnsiTheme="minorEastAsia" w:eastAsiaTheme="minorEastAsia"/>
          <w:sz w:val="24"/>
        </w:rPr>
        <w:t>分，每增加一次失信行为，加扣</w:t>
      </w:r>
      <w:r>
        <w:rPr>
          <w:rFonts w:asciiTheme="minorEastAsia" w:hAnsiTheme="minorEastAsia" w:eastAsiaTheme="minorEastAsia"/>
          <w:szCs w:val="21"/>
        </w:rPr>
        <w:t>5</w:t>
      </w:r>
      <w:r>
        <w:rPr>
          <w:rFonts w:hint="eastAsia" w:asciiTheme="minorEastAsia" w:hAnsiTheme="minorEastAsia" w:eastAsiaTheme="minorEastAsia"/>
          <w:sz w:val="24"/>
        </w:rPr>
        <w:t>分，直至扣完为止。</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4.3.3</w:t>
      </w:r>
      <w:r>
        <w:rPr>
          <w:rFonts w:hint="eastAsia" w:asciiTheme="minorEastAsia" w:hAnsiTheme="minorEastAsia" w:eastAsiaTheme="minorEastAsia"/>
        </w:rPr>
        <w:t>综合评分明细表</w:t>
      </w:r>
    </w:p>
    <w:p>
      <w:pPr>
        <w:pStyle w:val="9"/>
        <w:tabs>
          <w:tab w:val="left" w:pos="600"/>
        </w:tabs>
        <w:spacing w:line="400" w:lineRule="exact"/>
        <w:ind w:firstLine="480" w:firstLineChars="200"/>
        <w:rPr>
          <w:rFonts w:asciiTheme="minorEastAsia" w:hAnsiTheme="minorEastAsia" w:eastAsiaTheme="minorEastAsia"/>
        </w:rPr>
      </w:pPr>
    </w:p>
    <w:tbl>
      <w:tblPr>
        <w:tblStyle w:val="2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708"/>
        <w:gridCol w:w="453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序号</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评分因素及权重</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分值</w:t>
            </w:r>
          </w:p>
        </w:tc>
        <w:tc>
          <w:tcPr>
            <w:tcW w:w="4536"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评分标准</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spacing w:line="400" w:lineRule="exact"/>
              <w:ind w:firstLine="0"/>
              <w:rPr>
                <w:rFonts w:asciiTheme="minorEastAsia" w:hAnsiTheme="minorEastAsia" w:eastAsiaTheme="minorEastAsia"/>
              </w:rPr>
            </w:pPr>
            <w:r>
              <w:rPr>
                <w:rFonts w:asciiTheme="minorEastAsia" w:hAnsiTheme="minorEastAsia" w:eastAsiaTheme="minorEastAsia"/>
              </w:rPr>
              <w:t>1</w:t>
            </w:r>
          </w:p>
        </w:tc>
        <w:tc>
          <w:tcPr>
            <w:tcW w:w="1134"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报价30%</w:t>
            </w:r>
          </w:p>
        </w:tc>
        <w:tc>
          <w:tcPr>
            <w:tcW w:w="708"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30分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1、以满足招标文件要求且投标价格最低的投标报价为基准价，投标报价得分=(基准价／投标报价)×30%×100（保留两位小数）</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2、根据财政部、工业和信息化部《关于印发〈政府采购促进中小企业发展暂行办法〉的通知》（财库[2011]181 号）规定，对符合规定的小型、微型企业报价给予 10%的扣除，用扣除后的价格参与评审（如所有供应商均满足价格扣除条件的，则不必再扣除）。</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3、根据《政府采购支持监狱企业发展有关问题的通知》（财库〔2014〕68 号）规定，监狱企业视同小型、微型企业。</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4、根据《关于促进残疾人就业政府采购政策的通知》（财库〔2017〕141 号）规定，残疾人福利性单位视同小型、微型企业。残疾人福利性单位属于小型、微型企业的，不重复享受政策。</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注：提供虚假《中小企业声明函》的，按提供虚假材料谋取中标予以处理。</w:t>
            </w:r>
          </w:p>
        </w:tc>
        <w:tc>
          <w:tcPr>
            <w:tcW w:w="1843" w:type="dxa"/>
            <w:vAlign w:val="center"/>
          </w:tcPr>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spacing w:line="400" w:lineRule="exact"/>
              <w:ind w:firstLine="0"/>
              <w:rPr>
                <w:rFonts w:asciiTheme="minorEastAsia" w:hAnsiTheme="minorEastAsia" w:eastAsiaTheme="minorEastAsia"/>
              </w:rPr>
            </w:pPr>
            <w:r>
              <w:rPr>
                <w:rFonts w:hint="eastAsia" w:asciiTheme="minorEastAsia" w:hAnsiTheme="minorEastAsia" w:eastAsiaTheme="minorEastAsia"/>
              </w:rPr>
              <w:t>2</w:t>
            </w:r>
          </w:p>
        </w:tc>
        <w:tc>
          <w:tcPr>
            <w:tcW w:w="1134" w:type="dxa"/>
            <w:vAlign w:val="center"/>
          </w:tcPr>
          <w:p>
            <w:pPr>
              <w:adjustRightInd w:val="0"/>
              <w:snapToGrid w:val="0"/>
              <w:jc w:val="center"/>
              <w:rPr>
                <w:rFonts w:asciiTheme="minorEastAsia" w:hAnsiTheme="minorEastAsia" w:eastAsiaTheme="minorEastAsia"/>
                <w:color w:val="000000"/>
                <w:sz w:val="24"/>
              </w:rPr>
            </w:pPr>
            <w:r>
              <w:rPr>
                <w:rFonts w:hint="eastAsia" w:cs="宋体" w:asciiTheme="minorEastAsia" w:hAnsiTheme="minorEastAsia" w:eastAsiaTheme="minorEastAsia"/>
                <w:bCs/>
                <w:color w:val="000000"/>
                <w:sz w:val="24"/>
              </w:rPr>
              <w:t>技术指标和配置10</w:t>
            </w:r>
            <w:r>
              <w:rPr>
                <w:rFonts w:hint="eastAsia" w:asciiTheme="minorEastAsia" w:hAnsiTheme="minorEastAsia" w:eastAsiaTheme="minorEastAsia"/>
                <w:color w:val="000000"/>
                <w:sz w:val="24"/>
              </w:rPr>
              <w:t>%</w:t>
            </w:r>
          </w:p>
        </w:tc>
        <w:tc>
          <w:tcPr>
            <w:tcW w:w="708" w:type="dxa"/>
            <w:vAlign w:val="center"/>
          </w:tcPr>
          <w:p>
            <w:pPr>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10分</w:t>
            </w:r>
          </w:p>
        </w:tc>
        <w:tc>
          <w:tcPr>
            <w:tcW w:w="4536" w:type="dxa"/>
            <w:vAlign w:val="center"/>
          </w:tcPr>
          <w:p>
            <w:pPr>
              <w:adjustRightInd w:val="0"/>
              <w:snapToGrid w:val="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投标产品技术指标和配置完全符合招标文件要求没有负偏离得10分。负偏离的一项扣1分，扣完为止。</w:t>
            </w:r>
          </w:p>
        </w:tc>
        <w:tc>
          <w:tcPr>
            <w:tcW w:w="1843" w:type="dxa"/>
            <w:vAlign w:val="center"/>
          </w:tcPr>
          <w:p>
            <w:pPr>
              <w:adjustRightInd w:val="0"/>
              <w:snapToGrid w:val="0"/>
              <w:jc w:val="left"/>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3</w:t>
            </w:r>
          </w:p>
        </w:tc>
        <w:tc>
          <w:tcPr>
            <w:tcW w:w="1134" w:type="dxa"/>
            <w:vAlign w:val="center"/>
          </w:tcPr>
          <w:p>
            <w:pPr>
              <w:pStyle w:val="9"/>
              <w:tabs>
                <w:tab w:val="left" w:pos="600"/>
              </w:tabs>
              <w:spacing w:line="400" w:lineRule="exact"/>
              <w:ind w:firstLine="0"/>
              <w:jc w:val="center"/>
              <w:rPr>
                <w:rFonts w:cs="宋体" w:asciiTheme="minorEastAsia" w:hAnsiTheme="minorEastAsia" w:eastAsiaTheme="minorEastAsia"/>
              </w:rPr>
            </w:pPr>
            <w:r>
              <w:rPr>
                <w:rFonts w:hint="eastAsia" w:cs="宋体" w:asciiTheme="minorEastAsia" w:hAnsiTheme="minorEastAsia" w:eastAsiaTheme="minorEastAsia"/>
              </w:rPr>
              <w:t>项目实施方案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24分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根据投标人提供的项目方案包含但不限于：①实施方案②质量保证措施、③进度计划、④、重点、难点分析⑤、解决方案和措施⑥应急预案，</w:t>
            </w:r>
            <w:r>
              <w:rPr>
                <w:rFonts w:hint="eastAsia" w:ascii="宋体" w:hAnsi="宋体"/>
              </w:rPr>
              <w:t>能最大限度满足优质服务的得24分。每有一项缺失或不完整或不符合要求扣4分，扣完为止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4</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履约能力</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10分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2018年1月1日至今（含1月1日）投标人的同类业绩，每个得2分，最高得10分。</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须提供对应业绩的合同、发票复印件。</w:t>
            </w:r>
          </w:p>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5</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配送方案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12分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根据投标人提供的配送方案包含但不限于：①配送方案②配送人员、③配送车辆、④配送时效，</w:t>
            </w:r>
            <w:r>
              <w:rPr>
                <w:rFonts w:hint="eastAsia" w:ascii="宋体" w:hAnsi="宋体"/>
              </w:rPr>
              <w:t>能最大限度满足优质服务的得12分。每有一项缺失或不完整或不符合要求扣3分，扣完为止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6</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后续服务方案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12分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根据投标人提供的后续服务方案包含但不限于：①后续服务方案②后续服务人员、③后续服务承诺，</w:t>
            </w:r>
            <w:r>
              <w:rPr>
                <w:rFonts w:hint="eastAsia" w:ascii="宋体" w:hAnsi="宋体"/>
              </w:rPr>
              <w:t>能最大限度满足优质服务的得12分。每有一项缺失或不完整或不符合要求扣4分，扣完为止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7</w:t>
            </w:r>
          </w:p>
        </w:tc>
        <w:tc>
          <w:tcPr>
            <w:tcW w:w="1134"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投标文件的规范性</w:t>
            </w:r>
          </w:p>
        </w:tc>
        <w:tc>
          <w:tcPr>
            <w:tcW w:w="708"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2分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投标文件制作规范，没有细微偏差情形的得2分；有一项细微偏差扣</w:t>
            </w:r>
            <w:r>
              <w:rPr>
                <w:rFonts w:asciiTheme="minorEastAsia" w:hAnsiTheme="minorEastAsia" w:eastAsiaTheme="minorEastAsia"/>
              </w:rPr>
              <w:t>0.</w:t>
            </w:r>
            <w:r>
              <w:rPr>
                <w:rFonts w:hint="eastAsia" w:asciiTheme="minorEastAsia" w:hAnsiTheme="minorEastAsia" w:eastAsiaTheme="minorEastAsia"/>
              </w:rPr>
              <w:t>5分，直至该项分值扣完为止。</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共同评审因素</w:t>
            </w:r>
          </w:p>
        </w:tc>
      </w:tr>
    </w:tbl>
    <w:p>
      <w:pPr>
        <w:pStyle w:val="9"/>
        <w:tabs>
          <w:tab w:val="left" w:pos="600"/>
        </w:tabs>
        <w:spacing w:line="400" w:lineRule="exact"/>
        <w:ind w:firstLine="0"/>
        <w:rPr>
          <w:rFonts w:asciiTheme="minorEastAsia" w:hAnsiTheme="minorEastAsia" w:eastAsiaTheme="minorEastAsia"/>
        </w:rPr>
      </w:pPr>
    </w:p>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注：评分的取值按四舍五入法，保留小数点后两位。</w:t>
      </w:r>
    </w:p>
    <w:p>
      <w:pPr>
        <w:pStyle w:val="50"/>
        <w:spacing w:beforeLines="0" w:afterLines="0" w:line="400" w:lineRule="exact"/>
        <w:ind w:firstLine="0" w:firstLineChars="0"/>
        <w:rPr>
          <w:rFonts w:asciiTheme="minorEastAsia" w:hAnsiTheme="minorEastAsia" w:eastAsiaTheme="minorEastAsia"/>
          <w:b/>
          <w:sz w:val="24"/>
        </w:rPr>
      </w:pPr>
      <w:bookmarkStart w:id="674" w:name="_Toc1093"/>
      <w:bookmarkStart w:id="675" w:name="_Toc801"/>
      <w:bookmarkStart w:id="676" w:name="_Toc17751"/>
      <w:bookmarkStart w:id="677" w:name="_Toc217446060"/>
      <w:r>
        <w:rPr>
          <w:rFonts w:asciiTheme="minorEastAsia" w:hAnsiTheme="minorEastAsia" w:eastAsiaTheme="minorEastAsia"/>
          <w:b/>
          <w:sz w:val="24"/>
        </w:rPr>
        <w:t>5</w:t>
      </w:r>
      <w:r>
        <w:rPr>
          <w:rFonts w:hint="eastAsia" w:asciiTheme="minorEastAsia" w:hAnsiTheme="minorEastAsia" w:eastAsiaTheme="minorEastAsia"/>
          <w:b/>
          <w:sz w:val="24"/>
        </w:rPr>
        <w:t>、</w:t>
      </w:r>
      <w:r>
        <w:rPr>
          <w:rFonts w:asciiTheme="minorEastAsia" w:hAnsiTheme="minorEastAsia" w:eastAsiaTheme="minorEastAsia"/>
          <w:b/>
          <w:sz w:val="24"/>
        </w:rPr>
        <w:t xml:space="preserve"> </w:t>
      </w:r>
      <w:r>
        <w:rPr>
          <w:rFonts w:hint="eastAsia" w:asciiTheme="minorEastAsia" w:hAnsiTheme="minorEastAsia" w:eastAsiaTheme="minorEastAsia"/>
          <w:b/>
          <w:sz w:val="24"/>
        </w:rPr>
        <w:t>废</w:t>
      </w:r>
      <w:r>
        <w:rPr>
          <w:rFonts w:asciiTheme="minorEastAsia" w:hAnsiTheme="minorEastAsia" w:eastAsiaTheme="minorEastAsia"/>
          <w:b/>
          <w:sz w:val="24"/>
        </w:rPr>
        <w:t xml:space="preserve"> </w:t>
      </w:r>
      <w:r>
        <w:rPr>
          <w:rFonts w:hint="eastAsia" w:asciiTheme="minorEastAsia" w:hAnsiTheme="minorEastAsia" w:eastAsiaTheme="minorEastAsia"/>
          <w:b/>
          <w:sz w:val="24"/>
        </w:rPr>
        <w:t>标</w:t>
      </w:r>
      <w:bookmarkEnd w:id="674"/>
      <w:bookmarkEnd w:id="675"/>
      <w:bookmarkEnd w:id="676"/>
    </w:p>
    <w:p>
      <w:pPr>
        <w:spacing w:line="400" w:lineRule="exact"/>
        <w:rPr>
          <w:rFonts w:asciiTheme="minorEastAsia" w:hAnsiTheme="minorEastAsia" w:eastAsiaTheme="minorEastAsia"/>
          <w:sz w:val="24"/>
        </w:rPr>
      </w:pPr>
      <w:r>
        <w:rPr>
          <w:rFonts w:asciiTheme="minorEastAsia" w:hAnsiTheme="minorEastAsia" w:eastAsiaTheme="minorEastAsia"/>
          <w:sz w:val="24"/>
        </w:rPr>
        <w:t>5.1</w:t>
      </w:r>
      <w:r>
        <w:rPr>
          <w:rFonts w:hint="eastAsia" w:asciiTheme="minorEastAsia" w:hAnsiTheme="minorEastAsia" w:eastAsiaTheme="minorEastAsia"/>
          <w:sz w:val="24"/>
        </w:rPr>
        <w:t>本次采购活动中，出现下列情形之一的，予以废标：</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）符合专业条件的供应商或者对招标文件作实质响应的供应商不足三家的；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）出现影响采购公正的违法、违规行为的；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）投标人的报价均超过了采购预算，采购人不能支付的；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废标后，采购代理机构应在广汉市人民医院官网上公告，并公告废标的情形。投标人需要知晓导致废标情形的具体原因和理由的，可以通过书面形式询问招标采购单位。</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5.2</w:t>
      </w:r>
      <w:r>
        <w:rPr>
          <w:rFonts w:hint="eastAsia" w:asciiTheme="minorEastAsia" w:hAnsiTheme="minorEastAsia" w:eastAsiaTheme="minorEastAsia"/>
          <w:sz w:val="24"/>
        </w:rPr>
        <w:t>对于评标过程中废标的采购项目，评标委员会应当对招标文件是否存在倾向性和歧视性、是否存在不合理条款进行论证，并出具书面论证意见。</w:t>
      </w:r>
    </w:p>
    <w:p>
      <w:pPr>
        <w:pStyle w:val="50"/>
        <w:spacing w:beforeLines="0" w:afterLines="0" w:line="400" w:lineRule="exact"/>
        <w:ind w:firstLine="482"/>
        <w:rPr>
          <w:rFonts w:asciiTheme="minorEastAsia" w:hAnsiTheme="minorEastAsia" w:eastAsiaTheme="minorEastAsia"/>
          <w:b/>
          <w:sz w:val="24"/>
        </w:rPr>
      </w:pPr>
      <w:bookmarkStart w:id="678" w:name="_Toc26498"/>
      <w:bookmarkStart w:id="679" w:name="_Toc12284"/>
      <w:bookmarkStart w:id="680" w:name="_Toc3856"/>
      <w:r>
        <w:rPr>
          <w:rFonts w:asciiTheme="minorEastAsia" w:hAnsiTheme="minorEastAsia" w:eastAsiaTheme="minorEastAsia"/>
          <w:b/>
          <w:sz w:val="24"/>
        </w:rPr>
        <w:t>6</w:t>
      </w:r>
      <w:r>
        <w:rPr>
          <w:rFonts w:hint="eastAsia" w:asciiTheme="minorEastAsia" w:hAnsiTheme="minorEastAsia" w:eastAsiaTheme="minorEastAsia"/>
          <w:b/>
          <w:sz w:val="24"/>
        </w:rPr>
        <w:t>、定标</w:t>
      </w:r>
      <w:bookmarkEnd w:id="677"/>
      <w:bookmarkEnd w:id="678"/>
      <w:bookmarkEnd w:id="679"/>
      <w:bookmarkEnd w:id="680"/>
      <w:bookmarkStart w:id="681" w:name="_Toc217446061"/>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6.1. </w:t>
      </w:r>
      <w:r>
        <w:rPr>
          <w:rFonts w:hint="eastAsia" w:asciiTheme="minorEastAsia" w:hAnsiTheme="minorEastAsia" w:eastAsiaTheme="minorEastAsia"/>
          <w:sz w:val="24"/>
        </w:rPr>
        <w:t>定标原则</w:t>
      </w:r>
      <w:bookmarkEnd w:id="681"/>
      <w:r>
        <w:rPr>
          <w:rFonts w:hint="eastAsia" w:asciiTheme="minorEastAsia" w:hAnsiTheme="minorEastAsia" w:eastAsiaTheme="minorEastAsia"/>
          <w:sz w:val="24"/>
        </w:rPr>
        <w:t>：本项目根据评标委员会推荐的中标候选供应商名单，按顺序确定中标供应商。</w:t>
      </w:r>
    </w:p>
    <w:p>
      <w:pPr>
        <w:spacing w:line="400" w:lineRule="exact"/>
        <w:ind w:firstLine="480" w:firstLineChars="200"/>
        <w:rPr>
          <w:rFonts w:asciiTheme="minorEastAsia" w:hAnsiTheme="minorEastAsia" w:eastAsiaTheme="minorEastAsia"/>
          <w:sz w:val="24"/>
        </w:rPr>
      </w:pPr>
      <w:bookmarkStart w:id="682" w:name="_Toc217446062"/>
      <w:r>
        <w:rPr>
          <w:rFonts w:asciiTheme="minorEastAsia" w:hAnsiTheme="minorEastAsia" w:eastAsiaTheme="minorEastAsia"/>
          <w:sz w:val="24"/>
        </w:rPr>
        <w:t xml:space="preserve">6.2. </w:t>
      </w:r>
      <w:r>
        <w:rPr>
          <w:rFonts w:hint="eastAsia" w:asciiTheme="minorEastAsia" w:hAnsiTheme="minorEastAsia" w:eastAsiaTheme="minorEastAsia"/>
          <w:sz w:val="24"/>
        </w:rPr>
        <w:t>定标程序</w:t>
      </w:r>
      <w:bookmarkEnd w:id="682"/>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6.2.1 </w:t>
      </w:r>
      <w:r>
        <w:rPr>
          <w:rFonts w:hint="eastAsia" w:asciiTheme="minorEastAsia" w:hAnsiTheme="minorEastAsia" w:eastAsiaTheme="minorEastAsia"/>
          <w:sz w:val="24"/>
        </w:rPr>
        <w:t>评标委员会将评标情况写出书面报告，推荐中标候选供应商。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6.2.2 </w:t>
      </w:r>
      <w:r>
        <w:rPr>
          <w:rFonts w:hint="eastAsia" w:asciiTheme="minorEastAsia" w:hAnsiTheme="minorEastAsia" w:eastAsiaTheme="minorEastAsia"/>
          <w:sz w:val="24"/>
        </w:rPr>
        <w:t>采购代理机构在评标结束后</w:t>
      </w:r>
      <w:r>
        <w:rPr>
          <w:rFonts w:asciiTheme="minorEastAsia" w:hAnsiTheme="minorEastAsia" w:eastAsiaTheme="minorEastAsia"/>
          <w:sz w:val="24"/>
        </w:rPr>
        <w:t>2</w:t>
      </w:r>
      <w:r>
        <w:rPr>
          <w:rFonts w:hint="eastAsia" w:asciiTheme="minorEastAsia" w:hAnsiTheme="minorEastAsia" w:eastAsiaTheme="minorEastAsia"/>
          <w:sz w:val="24"/>
        </w:rPr>
        <w:t>个工作日内将评标报告送采购人。</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6.2.3 </w:t>
      </w:r>
      <w:r>
        <w:rPr>
          <w:rFonts w:hint="eastAsia" w:asciiTheme="minorEastAsia" w:hAnsiTheme="minorEastAsia" w:eastAsiaTheme="minorEastAsia"/>
          <w:sz w:val="24"/>
        </w:rPr>
        <w:t>采购人在收到评标报告后</w:t>
      </w:r>
      <w:r>
        <w:rPr>
          <w:rFonts w:asciiTheme="minorEastAsia" w:hAnsiTheme="minorEastAsia" w:eastAsiaTheme="minorEastAsia"/>
          <w:sz w:val="24"/>
        </w:rPr>
        <w:t>5</w:t>
      </w:r>
      <w:r>
        <w:rPr>
          <w:rFonts w:hint="eastAsia" w:asciiTheme="minorEastAsia" w:hAnsiTheme="minorEastAsia" w:eastAsiaTheme="minorEastAsia"/>
          <w:sz w:val="24"/>
        </w:rPr>
        <w:t>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6.2.4 </w:t>
      </w:r>
      <w:r>
        <w:rPr>
          <w:rFonts w:hint="eastAsia" w:asciiTheme="minorEastAsia" w:hAnsiTheme="minorEastAsia" w:eastAsiaTheme="minorEastAsia"/>
          <w:sz w:val="24"/>
        </w:rPr>
        <w:t>根据采购人确定的中标供应商，采购代理机构在广汉市人民医院官网上发布中标公告，并自采购人确定中标之日起</w:t>
      </w:r>
      <w:r>
        <w:rPr>
          <w:rFonts w:asciiTheme="minorEastAsia" w:hAnsiTheme="minorEastAsia" w:eastAsiaTheme="minorEastAsia"/>
          <w:sz w:val="24"/>
        </w:rPr>
        <w:t>2</w:t>
      </w:r>
      <w:r>
        <w:rPr>
          <w:rFonts w:hint="eastAsia" w:asciiTheme="minorEastAsia" w:hAnsiTheme="minorEastAsia" w:eastAsiaTheme="minorEastAsia"/>
          <w:sz w:val="24"/>
        </w:rPr>
        <w:t>个工作日内向中标供应商发出中标通知书。</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6.2.5 </w:t>
      </w:r>
      <w:r>
        <w:rPr>
          <w:rFonts w:hint="eastAsia" w:asciiTheme="minorEastAsia" w:hAnsiTheme="minorEastAsia" w:eastAsiaTheme="minorEastAsia"/>
          <w:sz w:val="24"/>
        </w:rPr>
        <w:t>招标采购单位不退回投标人投标文件和其他投标资料。</w:t>
      </w:r>
    </w:p>
    <w:bookmarkEnd w:id="671"/>
    <w:p>
      <w:pPr>
        <w:pStyle w:val="50"/>
        <w:spacing w:beforeLines="0" w:afterLines="0" w:line="400" w:lineRule="exact"/>
        <w:ind w:firstLine="482"/>
        <w:rPr>
          <w:rFonts w:asciiTheme="minorEastAsia" w:hAnsiTheme="minorEastAsia" w:eastAsiaTheme="minorEastAsia"/>
          <w:b/>
          <w:bCs/>
          <w:sz w:val="24"/>
        </w:rPr>
      </w:pPr>
      <w:bookmarkStart w:id="683" w:name="_Toc217446105"/>
      <w:bookmarkStart w:id="684" w:name="_Toc183682432"/>
      <w:bookmarkStart w:id="685" w:name="_Toc183582297"/>
      <w:bookmarkStart w:id="686" w:name="_Toc208849022"/>
      <w:bookmarkStart w:id="687" w:name="_Toc22045"/>
      <w:bookmarkStart w:id="688" w:name="_Toc11272"/>
      <w:bookmarkStart w:id="689" w:name="_Toc16467"/>
      <w:r>
        <w:rPr>
          <w:rFonts w:asciiTheme="minorEastAsia" w:hAnsiTheme="minorEastAsia" w:eastAsiaTheme="minorEastAsia"/>
          <w:b/>
          <w:bCs/>
          <w:sz w:val="24"/>
        </w:rPr>
        <w:t xml:space="preserve">7. </w:t>
      </w:r>
      <w:bookmarkEnd w:id="683"/>
      <w:bookmarkEnd w:id="684"/>
      <w:bookmarkEnd w:id="685"/>
      <w:bookmarkEnd w:id="686"/>
      <w:r>
        <w:rPr>
          <w:rFonts w:hint="eastAsia" w:asciiTheme="minorEastAsia" w:hAnsiTheme="minorEastAsia" w:eastAsiaTheme="minorEastAsia"/>
          <w:b/>
          <w:sz w:val="24"/>
        </w:rPr>
        <w:t>评标专家在采购活动中承担以下义务：</w:t>
      </w:r>
      <w:bookmarkEnd w:id="687"/>
      <w:bookmarkEnd w:id="688"/>
      <w:bookmarkEnd w:id="689"/>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（一）遵守评审工作纪律；</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（二）按照客观、公正、审慎的原则，根据采购文件规定的评审程序、评审方法和评审标准进行独立评审；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（三）不得泄露评审文件、评审情况和在评审过程中获悉的商业秘密；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（六）配合答复处理供应商的询问、质疑和投诉等事项；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（七）法律、法规和规章规定的其他义务。</w:t>
      </w:r>
    </w:p>
    <w:p>
      <w:pPr>
        <w:pStyle w:val="50"/>
        <w:spacing w:beforeLines="0" w:afterLines="0" w:line="400" w:lineRule="exact"/>
        <w:ind w:firstLine="441" w:firstLineChars="183"/>
        <w:rPr>
          <w:rFonts w:asciiTheme="minorEastAsia" w:hAnsiTheme="minorEastAsia" w:eastAsiaTheme="minorEastAsia"/>
          <w:b/>
          <w:sz w:val="24"/>
        </w:rPr>
      </w:pPr>
      <w:bookmarkStart w:id="690" w:name="_Toc29722"/>
      <w:bookmarkStart w:id="691" w:name="_Toc17319"/>
      <w:bookmarkStart w:id="692" w:name="_Toc31730"/>
      <w:r>
        <w:rPr>
          <w:rFonts w:asciiTheme="minorEastAsia" w:hAnsiTheme="minorEastAsia" w:eastAsiaTheme="minorEastAsia"/>
          <w:b/>
          <w:sz w:val="24"/>
        </w:rPr>
        <w:t>8.</w:t>
      </w:r>
      <w:r>
        <w:rPr>
          <w:rFonts w:hint="eastAsia" w:asciiTheme="minorEastAsia" w:hAnsiTheme="minorEastAsia" w:eastAsiaTheme="minorEastAsia"/>
          <w:b/>
          <w:sz w:val="24"/>
        </w:rPr>
        <w:t>评标专家在采购活动中应当遵守以下工作纪律：</w:t>
      </w:r>
      <w:bookmarkEnd w:id="690"/>
      <w:bookmarkEnd w:id="691"/>
      <w:bookmarkEnd w:id="692"/>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（一）遵行《政府采购法》第十二条和《政府采购法实施条例》第九条及财政部关于回避的规定。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（二）评标前，应当将通讯工具或者相关电子设备交由招标采购单位统一保管。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（三）评标过程中，不得与外界联系，因发生不可预见情况，确实需要与外界联系的，应当在监督人员监督之下办理。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（五）在评标过程中和评标结束后，不得记录、复制或带走任何评标资料，除因规定的义务外，不得向外界透露评标内容。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（六）服从评标现场招标采购单位的现场秩序管理，接受评标现场监督人员的合法监督。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pStyle w:val="2"/>
        <w:spacing w:line="400" w:lineRule="exact"/>
        <w:jc w:val="center"/>
        <w:rPr>
          <w:rFonts w:asciiTheme="minorEastAsia" w:hAnsiTheme="minorEastAsia" w:eastAsiaTheme="minorEastAsia"/>
          <w:sz w:val="36"/>
          <w:szCs w:val="36"/>
        </w:rPr>
      </w:pPr>
      <w:bookmarkStart w:id="693" w:name="_Toc26022"/>
      <w:bookmarkStart w:id="694" w:name="_Toc2602463"/>
      <w:bookmarkStart w:id="695" w:name="_Toc27920"/>
      <w:r>
        <w:rPr>
          <w:rFonts w:hint="eastAsia" w:asciiTheme="minorEastAsia" w:hAnsiTheme="minorEastAsia" w:eastAsiaTheme="minorEastAsia"/>
          <w:sz w:val="36"/>
          <w:szCs w:val="36"/>
        </w:rPr>
        <w:t>第八章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采购合同（样例）</w:t>
      </w:r>
      <w:bookmarkEnd w:id="693"/>
      <w:bookmarkEnd w:id="694"/>
      <w:bookmarkEnd w:id="695"/>
    </w:p>
    <w:p>
      <w:pPr>
        <w:spacing w:line="400" w:lineRule="exact"/>
        <w:rPr>
          <w:rFonts w:asciiTheme="minorEastAsia" w:hAnsiTheme="minorEastAsia" w:eastAsiaTheme="minorEastAsia"/>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合同编号：</w:t>
      </w:r>
      <w:r>
        <w:rPr>
          <w:rFonts w:cs="宋体" w:asciiTheme="minorEastAsia" w:hAnsiTheme="minorEastAsia" w:eastAsiaTheme="minorEastAsia"/>
          <w:sz w:val="24"/>
        </w:rPr>
        <w:t>XXXX</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hint="eastAsia" w:cs="宋体" w:asciiTheme="minorEastAsia" w:hAnsiTheme="minorEastAsia" w:eastAsiaTheme="minorEastAsia"/>
          <w:sz w:val="24"/>
        </w:rPr>
        <w:t>签订地点：</w:t>
      </w:r>
      <w:r>
        <w:rPr>
          <w:rFonts w:cs="宋体" w:asciiTheme="minorEastAsia" w:hAnsiTheme="minorEastAsia" w:eastAsiaTheme="minorEastAsia"/>
          <w:sz w:val="24"/>
        </w:rPr>
        <w:t>XXXX</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hint="eastAsia" w:cs="宋体" w:asciiTheme="minorEastAsia" w:hAnsiTheme="minorEastAsia" w:eastAsiaTheme="minorEastAsia"/>
          <w:sz w:val="24"/>
        </w:rPr>
        <w:t>签订时间：</w:t>
      </w:r>
      <w:r>
        <w:rPr>
          <w:rFonts w:cs="宋体" w:asciiTheme="minorEastAsia" w:hAnsiTheme="minorEastAsia" w:eastAsiaTheme="minorEastAsia"/>
          <w:sz w:val="24"/>
        </w:rPr>
        <w:t>XXXX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p>
    <w:p>
      <w:pPr>
        <w:rPr>
          <w:rFonts w:cs="宋体" w:asciiTheme="minorEastAsia" w:hAnsiTheme="minorEastAsia" w:eastAsiaTheme="minorEastAsia"/>
          <w:sz w:val="24"/>
        </w:rPr>
      </w:pPr>
      <w:r>
        <w:rPr>
          <w:rFonts w:hint="eastAsia" w:cs="宋体" w:asciiTheme="minorEastAsia" w:hAnsiTheme="minorEastAsia" w:eastAsiaTheme="minorEastAsia"/>
          <w:sz w:val="24"/>
        </w:rPr>
        <w:t>采购人（甲方）：</w:t>
      </w:r>
      <w:r>
        <w:rPr>
          <w:rFonts w:cs="宋体" w:asciiTheme="minorEastAsia" w:hAnsiTheme="minorEastAsia" w:eastAsiaTheme="minorEastAsia"/>
          <w:sz w:val="24"/>
        </w:rPr>
        <w:t xml:space="preserve">                              </w:t>
      </w:r>
    </w:p>
    <w:p>
      <w:pPr>
        <w:rPr>
          <w:rFonts w:cs="宋体" w:asciiTheme="minorEastAsia" w:hAnsiTheme="minorEastAsia" w:eastAsiaTheme="minorEastAsia"/>
          <w:sz w:val="24"/>
        </w:rPr>
      </w:pPr>
      <w:r>
        <w:rPr>
          <w:rFonts w:hint="eastAsia" w:cs="宋体" w:asciiTheme="minorEastAsia" w:hAnsiTheme="minorEastAsia" w:eastAsiaTheme="minorEastAsia"/>
          <w:sz w:val="24"/>
        </w:rPr>
        <w:t>供应商（乙方）：</w:t>
      </w:r>
      <w:r>
        <w:rPr>
          <w:rFonts w:cs="宋体" w:asciiTheme="minorEastAsia" w:hAnsiTheme="minorEastAsia" w:eastAsiaTheme="minorEastAsia"/>
          <w:sz w:val="24"/>
        </w:rPr>
        <w:t xml:space="preserve">                                                                     </w:t>
      </w: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根据《中华人民共和国政府采购法》、《中华人民共和国合同法》及</w:t>
      </w:r>
      <w:r>
        <w:rPr>
          <w:rFonts w:cs="宋体" w:asciiTheme="minorEastAsia" w:hAnsiTheme="minorEastAsia" w:eastAsiaTheme="minorEastAsia"/>
          <w:sz w:val="24"/>
        </w:rPr>
        <w:t>XXXX</w:t>
      </w:r>
      <w:r>
        <w:rPr>
          <w:rFonts w:hint="eastAsia" w:cs="宋体" w:asciiTheme="minorEastAsia" w:hAnsiTheme="minorEastAsia" w:eastAsiaTheme="minorEastAsia"/>
          <w:sz w:val="24"/>
        </w:rPr>
        <w:t>采购项目（项目编号：</w:t>
      </w:r>
      <w:r>
        <w:rPr>
          <w:rFonts w:cs="宋体" w:asciiTheme="minorEastAsia" w:hAnsiTheme="minorEastAsia" w:eastAsiaTheme="minorEastAsia"/>
          <w:sz w:val="24"/>
        </w:rPr>
        <w:t>XX</w:t>
      </w:r>
      <w:r>
        <w:rPr>
          <w:rFonts w:hint="eastAsia" w:cs="宋体" w:asciiTheme="minorEastAsia" w:hAnsiTheme="minorEastAsia" w:eastAsiaTheme="minorEastAsia"/>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rPr>
          <w:rFonts w:cs="宋体" w:asciiTheme="minorEastAsia" w:hAnsiTheme="minorEastAsia" w:eastAsiaTheme="minorEastAsia"/>
          <w:sz w:val="24"/>
        </w:rPr>
      </w:pPr>
      <w:bookmarkStart w:id="696" w:name="_Toc32684"/>
      <w:bookmarkStart w:id="697" w:name="_Toc217446107"/>
      <w:r>
        <w:rPr>
          <w:rFonts w:hint="eastAsia" w:cs="宋体" w:asciiTheme="minorEastAsia" w:hAnsiTheme="minorEastAsia" w:eastAsiaTheme="minorEastAsia"/>
          <w:sz w:val="24"/>
        </w:rPr>
        <w:t>一、合同货物</w:t>
      </w:r>
      <w:bookmarkEnd w:id="696"/>
      <w:bookmarkEnd w:id="697"/>
    </w:p>
    <w:tbl>
      <w:tblPr>
        <w:tblStyle w:val="24"/>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规格</w:t>
            </w:r>
          </w:p>
          <w:p>
            <w:pPr>
              <w:rPr>
                <w:rFonts w:cs="宋体" w:asciiTheme="minorEastAsia" w:hAnsiTheme="minorEastAsia" w:eastAsiaTheme="minorEastAsia"/>
                <w:sz w:val="24"/>
              </w:rPr>
            </w:pPr>
            <w:r>
              <w:rPr>
                <w:rFonts w:hint="eastAsia" w:cs="宋体" w:asciiTheme="minorEastAsia" w:hAnsiTheme="minorEastAsia" w:eastAsiaTheme="minorEastAsia"/>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单价</w:t>
            </w:r>
          </w:p>
          <w:p>
            <w:pPr>
              <w:rPr>
                <w:rFonts w:cs="宋体" w:asciiTheme="minorEastAsia" w:hAnsiTheme="minorEastAsia" w:eastAsiaTheme="minorEastAsia"/>
                <w:sz w:val="24"/>
              </w:rPr>
            </w:pPr>
            <w:r>
              <w:rPr>
                <w:rFonts w:hint="eastAsia" w:cs="宋体" w:asciiTheme="minorEastAsia" w:hAnsiTheme="minorEastAsia" w:eastAsiaTheme="minorEastAsia"/>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rPr>
                <w:rFonts w:cs="宋体" w:asciiTheme="minorEastAsia" w:hAnsiTheme="minorEastAsia" w:eastAsiaTheme="minorEastAsia"/>
                <w:sz w:val="24"/>
              </w:rPr>
            </w:pPr>
            <w:r>
              <w:rPr>
                <w:rFonts w:hint="eastAsia" w:cs="宋体" w:asciiTheme="minorEastAsia" w:hAnsiTheme="minorEastAsia" w:eastAsiaTheme="minorEastAsia"/>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随机</w:t>
            </w:r>
          </w:p>
          <w:p>
            <w:pPr>
              <w:rPr>
                <w:rFonts w:cs="宋体" w:asciiTheme="minorEastAsia" w:hAnsiTheme="minorEastAsia" w:eastAsiaTheme="minorEastAsia"/>
                <w:sz w:val="24"/>
              </w:rPr>
            </w:pPr>
            <w:r>
              <w:rPr>
                <w:rFonts w:hint="eastAsia" w:cs="宋体" w:asciiTheme="minorEastAsia" w:hAnsiTheme="minorEastAsia" w:eastAsiaTheme="minorEastAsia"/>
                <w:sz w:val="24"/>
              </w:rPr>
              <w:t>配件</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r>
    </w:tbl>
    <w:p>
      <w:pPr>
        <w:rPr>
          <w:rFonts w:cs="宋体" w:asciiTheme="minorEastAsia" w:hAnsiTheme="minorEastAsia" w:eastAsiaTheme="minorEastAsia"/>
          <w:sz w:val="24"/>
        </w:rPr>
      </w:pPr>
      <w:bookmarkStart w:id="698" w:name="_Toc12817"/>
      <w:bookmarkStart w:id="699" w:name="_Toc217446108"/>
      <w:r>
        <w:rPr>
          <w:rFonts w:hint="eastAsia" w:cs="宋体" w:asciiTheme="minorEastAsia" w:hAnsiTheme="minorEastAsia" w:eastAsiaTheme="minorEastAsia"/>
          <w:sz w:val="24"/>
        </w:rPr>
        <w:t>二、合同总价</w:t>
      </w:r>
      <w:bookmarkEnd w:id="698"/>
      <w:bookmarkEnd w:id="699"/>
    </w:p>
    <w:p>
      <w:pPr>
        <w:rPr>
          <w:rFonts w:cs="宋体" w:asciiTheme="minorEastAsia" w:hAnsiTheme="minorEastAsia" w:eastAsiaTheme="minorEastAsia"/>
          <w:sz w:val="24"/>
        </w:rPr>
      </w:pPr>
      <w:r>
        <w:rPr>
          <w:rFonts w:hint="eastAsia" w:cs="宋体" w:asciiTheme="minorEastAsia" w:hAnsiTheme="minorEastAsia" w:eastAsiaTheme="minorEastAsia"/>
          <w:sz w:val="24"/>
        </w:rPr>
        <w:t>合同总价为人民币大写：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元，即</w:t>
      </w:r>
      <w:r>
        <w:rPr>
          <w:rFonts w:cs="宋体" w:asciiTheme="minorEastAsia" w:hAnsiTheme="minorEastAsia" w:eastAsiaTheme="minorEastAsia"/>
          <w:sz w:val="24"/>
        </w:rPr>
        <w:t>RMB</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rPr>
          <w:rFonts w:cs="宋体" w:asciiTheme="minorEastAsia" w:hAnsiTheme="minorEastAsia" w:eastAsiaTheme="minorEastAsia"/>
          <w:sz w:val="24"/>
        </w:rPr>
      </w:pPr>
      <w:bookmarkStart w:id="700" w:name="_Toc217446109"/>
      <w:bookmarkStart w:id="701" w:name="_Toc29741"/>
      <w:r>
        <w:rPr>
          <w:rFonts w:hint="eastAsia" w:cs="宋体" w:asciiTheme="minorEastAsia" w:hAnsiTheme="minorEastAsia" w:eastAsiaTheme="minorEastAsia"/>
          <w:sz w:val="24"/>
        </w:rPr>
        <w:t>三、质量要求</w:t>
      </w:r>
      <w:bookmarkEnd w:id="700"/>
      <w:bookmarkEnd w:id="701"/>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、乙方须提供全新的货物（含零部件、配件等），表面无划伤、无碰撞痕迹，且权属清楚，不得侵害他人的知识产权。</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、货物必须符合或优于国家（行业）</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标准，以及本项目招标文件的质量要求和技术指标与出厂标准。</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、乙方须在本合同签订之日起</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日内送交货物成品样品给甲方确认，在甲方出具样品确认书并封存成品样品外观尺寸后，乙方才能按样生产，并以此样品作为验收样品；每台货物上均应有产品质量检验合格标志。</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、货物制造质量出现问题，乙方应负责三包（包修、包换、包退），费用由乙方负担，甲方有权到乙方生产场地检查货物质量和生产进度。</w:t>
      </w:r>
    </w:p>
    <w:p>
      <w:pPr>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、货到现场后由于甲方保管不当造成的质量问题，乙方亦应负责修理，但费用由甲方负担。</w:t>
      </w:r>
    </w:p>
    <w:p>
      <w:pPr>
        <w:rPr>
          <w:rFonts w:cs="宋体" w:asciiTheme="minorEastAsia" w:hAnsiTheme="minorEastAsia" w:eastAsiaTheme="minorEastAsia"/>
          <w:sz w:val="24"/>
        </w:rPr>
      </w:pPr>
      <w:bookmarkStart w:id="702" w:name="_Toc20966"/>
      <w:bookmarkStart w:id="703" w:name="_Toc217446110"/>
      <w:r>
        <w:rPr>
          <w:rFonts w:hint="eastAsia" w:cs="宋体" w:asciiTheme="minorEastAsia" w:hAnsiTheme="minorEastAsia" w:eastAsiaTheme="minorEastAsia"/>
          <w:sz w:val="24"/>
        </w:rPr>
        <w:t>四、交货及验收</w:t>
      </w:r>
      <w:bookmarkEnd w:id="702"/>
      <w:bookmarkEnd w:id="703"/>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、乙方交货期限为合同签订生效后的</w:t>
      </w:r>
      <w:r>
        <w:rPr>
          <w:rFonts w:cs="宋体" w:asciiTheme="minorEastAsia" w:hAnsiTheme="minorEastAsia" w:eastAsiaTheme="minorEastAsia"/>
          <w:sz w:val="24"/>
        </w:rPr>
        <w:t>XX</w:t>
      </w:r>
      <w:r>
        <w:rPr>
          <w:rFonts w:hint="eastAsia" w:cs="宋体" w:asciiTheme="minorEastAsia" w:hAnsiTheme="minorEastAsia" w:eastAsiaTheme="minorEastAsia"/>
          <w:sz w:val="24"/>
        </w:rPr>
        <w:t>日内，在合同签订生效之日起</w:t>
      </w:r>
      <w:r>
        <w:rPr>
          <w:rFonts w:cs="宋体" w:asciiTheme="minorEastAsia" w:hAnsiTheme="minorEastAsia" w:eastAsiaTheme="minorEastAsia"/>
          <w:sz w:val="24"/>
        </w:rPr>
        <w:t>XX</w:t>
      </w:r>
      <w:r>
        <w:rPr>
          <w:rFonts w:hint="eastAsia" w:cs="宋体" w:asciiTheme="minorEastAsia" w:hAnsiTheme="minorEastAsia" w:eastAsiaTheme="minorEastAsia"/>
          <w:sz w:val="24"/>
        </w:rPr>
        <w:t>天内交货到甲方指定地点，随即在</w:t>
      </w:r>
      <w:r>
        <w:rPr>
          <w:rFonts w:cs="宋体" w:asciiTheme="minorEastAsia" w:hAnsiTheme="minorEastAsia" w:eastAsiaTheme="minorEastAsia"/>
          <w:sz w:val="24"/>
        </w:rPr>
        <w:t>XX</w:t>
      </w:r>
      <w:r>
        <w:rPr>
          <w:rFonts w:hint="eastAsia" w:cs="宋体" w:asciiTheme="minorEastAsia" w:hAnsiTheme="minorEastAsia" w:eastAsiaTheme="minorEastAsia"/>
          <w:sz w:val="24"/>
        </w:rPr>
        <w:t>日内全部完成安装调试验收合格交付使用，并且最迟应在</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日前全部完成安装调试验收合格交付使用</w:t>
      </w:r>
      <w:r>
        <w:rPr>
          <w:rFonts w:cs="宋体" w:asciiTheme="minorEastAsia" w:hAnsiTheme="minorEastAsia" w:eastAsiaTheme="minorEastAsia"/>
          <w:sz w:val="24"/>
        </w:rPr>
        <w:t>(</w:t>
      </w:r>
      <w:r>
        <w:rPr>
          <w:rFonts w:hint="eastAsia" w:cs="宋体" w:asciiTheme="minorEastAsia" w:hAnsiTheme="minorEastAsia" w:eastAsiaTheme="minorEastAsia"/>
          <w:sz w:val="24"/>
        </w:rPr>
        <w:t>如由于采购人的原因造成合同延迟签订或验收的，时间顺延</w:t>
      </w:r>
      <w:r>
        <w:rPr>
          <w:rFonts w:cs="宋体" w:asciiTheme="minorEastAsia" w:hAnsiTheme="minorEastAsia" w:eastAsiaTheme="minorEastAsia"/>
          <w:sz w:val="24"/>
        </w:rPr>
        <w:t>)</w:t>
      </w:r>
      <w:r>
        <w:rPr>
          <w:rFonts w:hint="eastAsia" w:cs="宋体" w:asciiTheme="minorEastAsia" w:hAnsiTheme="minorEastAsia" w:eastAsiaTheme="minorEastAsia"/>
          <w:sz w:val="24"/>
        </w:rPr>
        <w:t>。交货验收时须提供产品质检部门从同类产品中抽样检查合格的检测报告。</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、验收由甲方组织，乙方配合进行：</w:t>
      </w:r>
    </w:p>
    <w:p>
      <w:pPr>
        <w:rPr>
          <w:rFonts w:cs="宋体" w:asciiTheme="minorEastAsia" w:hAnsiTheme="minorEastAsia" w:eastAsiaTheme="minorEastAsia"/>
          <w:sz w:val="24"/>
        </w:rPr>
      </w:pPr>
      <w:r>
        <w:rPr>
          <w:rFonts w:cs="宋体" w:asciiTheme="minorEastAsia" w:hAnsiTheme="minorEastAsia" w:eastAsiaTheme="minorEastAsia"/>
          <w:sz w:val="24"/>
        </w:rPr>
        <w:t xml:space="preserve">(1) </w:t>
      </w:r>
      <w:r>
        <w:rPr>
          <w:rFonts w:hint="eastAsia" w:cs="宋体" w:asciiTheme="minorEastAsia" w:hAnsiTheme="minorEastAsia" w:eastAsiaTheme="minorEastAsia"/>
          <w:sz w:val="24"/>
        </w:rPr>
        <w:t>货物在乙方通知安装调试完毕后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日内初步验收。初步验收合格后，进入</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试用期；试用期间发生重大质量问题，修复后试用相应顺延；试用期结束后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日内完成最终验收；</w:t>
      </w:r>
    </w:p>
    <w:p>
      <w:pPr>
        <w:rPr>
          <w:rFonts w:cs="宋体" w:asciiTheme="minorEastAsia" w:hAnsiTheme="minorEastAsia" w:eastAsiaTheme="minorEastAsia"/>
          <w:sz w:val="24"/>
        </w:rPr>
      </w:pPr>
      <w:r>
        <w:rPr>
          <w:rFonts w:cs="宋体" w:asciiTheme="minorEastAsia" w:hAnsiTheme="minorEastAsia" w:eastAsiaTheme="minorEastAsia"/>
          <w:sz w:val="24"/>
        </w:rPr>
        <w:t xml:space="preserve">(2) </w:t>
      </w:r>
      <w:r>
        <w:rPr>
          <w:rFonts w:hint="eastAsia" w:cs="宋体" w:asciiTheme="minorEastAsia" w:hAnsiTheme="minorEastAsia" w:eastAsiaTheme="minorEastAsia"/>
          <w:sz w:val="24"/>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rPr>
          <w:rFonts w:cs="宋体" w:asciiTheme="minorEastAsia" w:hAnsiTheme="minorEastAsia" w:eastAsiaTheme="minorEastAsia"/>
          <w:sz w:val="24"/>
        </w:rPr>
      </w:pPr>
      <w:r>
        <w:rPr>
          <w:rFonts w:cs="宋体" w:asciiTheme="minorEastAsia" w:hAnsiTheme="minorEastAsia" w:eastAsiaTheme="minorEastAsia"/>
          <w:sz w:val="24"/>
        </w:rPr>
        <w:t xml:space="preserve">(3) </w:t>
      </w:r>
      <w:r>
        <w:rPr>
          <w:rFonts w:hint="eastAsia" w:cs="宋体" w:asciiTheme="minorEastAsia" w:hAnsiTheme="minorEastAsia" w:eastAsiaTheme="minorEastAsia"/>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rPr>
          <w:rFonts w:cs="宋体" w:asciiTheme="minorEastAsia" w:hAnsiTheme="minorEastAsia" w:eastAsiaTheme="minorEastAsia"/>
          <w:sz w:val="24"/>
        </w:rPr>
      </w:pPr>
      <w:r>
        <w:rPr>
          <w:rFonts w:cs="宋体" w:asciiTheme="minorEastAsia" w:hAnsiTheme="minorEastAsia" w:eastAsiaTheme="minorEastAsia"/>
          <w:sz w:val="24"/>
        </w:rPr>
        <w:t xml:space="preserve">(4) </w:t>
      </w:r>
      <w:r>
        <w:rPr>
          <w:rFonts w:hint="eastAsia" w:cs="宋体" w:asciiTheme="minorEastAsia" w:hAnsiTheme="minorEastAsia" w:eastAsiaTheme="minorEastAsia"/>
          <w:sz w:val="24"/>
        </w:rPr>
        <w:t>如质量验收合格，双方签署质量验收报告。</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、货物安装完成后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日内，甲方无故不进行验收工作并已使用货物的，视同已安装调试完成并验收合格。</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、乙方应将所提供货物的装箱清单、配件、随机工具、用户使用手册、原厂保修卡等资料交付给甲方；乙方不能完整交付货物及本款规定的单证和工具的，必须负责补齐，否则视为未按合同约定交货。</w:t>
      </w:r>
    </w:p>
    <w:p>
      <w:pPr>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、如货物经乙方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次维修仍不能达到合同约定的质量标准，甲方有权退货，并视作乙方不能交付货物而须支付违约赔偿金给甲方，甲方还可依法追究乙方的违约责任。</w:t>
      </w:r>
      <w:r>
        <w:rPr>
          <w:rFonts w:cs="宋体" w:asciiTheme="minorEastAsia" w:hAnsiTheme="minorEastAsia" w:eastAsiaTheme="minorEastAsia"/>
          <w:sz w:val="24"/>
        </w:rPr>
        <w:t> </w:t>
      </w:r>
    </w:p>
    <w:p>
      <w:pPr>
        <w:rPr>
          <w:rFonts w:cs="宋体" w:asciiTheme="minorEastAsia" w:hAnsiTheme="minorEastAsia" w:eastAsiaTheme="minorEastAsia"/>
          <w:sz w:val="24"/>
        </w:rPr>
      </w:pPr>
      <w:r>
        <w:rPr>
          <w:rFonts w:cs="宋体" w:asciiTheme="minorEastAsia" w:hAnsiTheme="minorEastAsia" w:eastAsiaTheme="minorEastAsia"/>
          <w:sz w:val="24"/>
        </w:rPr>
        <w:t>6</w:t>
      </w:r>
      <w:r>
        <w:rPr>
          <w:rFonts w:hint="eastAsia" w:cs="宋体" w:asciiTheme="minorEastAsia" w:hAnsiTheme="minorEastAsia" w:eastAsiaTheme="minorEastAsia"/>
          <w:sz w:val="24"/>
        </w:rPr>
        <w:t>、其他未尽事宜应严格按照《四川省政府采购项目需求论证和履约验收管理办法》（川财采〔</w:t>
      </w:r>
      <w:r>
        <w:rPr>
          <w:rFonts w:cs="宋体" w:asciiTheme="minorEastAsia" w:hAnsiTheme="minorEastAsia" w:eastAsiaTheme="minorEastAsia"/>
          <w:sz w:val="24"/>
        </w:rPr>
        <w:t>2015</w:t>
      </w:r>
      <w:r>
        <w:rPr>
          <w:rFonts w:hint="eastAsia" w:cs="宋体" w:asciiTheme="minorEastAsia" w:hAnsiTheme="minorEastAsia" w:eastAsiaTheme="minorEastAsia"/>
          <w:sz w:val="24"/>
        </w:rPr>
        <w:t>〕</w:t>
      </w:r>
      <w:r>
        <w:rPr>
          <w:rFonts w:cs="宋体" w:asciiTheme="minorEastAsia" w:hAnsiTheme="minorEastAsia" w:eastAsiaTheme="minorEastAsia"/>
          <w:sz w:val="24"/>
        </w:rPr>
        <w:t>32</w:t>
      </w:r>
      <w:r>
        <w:rPr>
          <w:rFonts w:hint="eastAsia" w:cs="宋体" w:asciiTheme="minorEastAsia" w:hAnsiTheme="minorEastAsia" w:eastAsiaTheme="minorEastAsia"/>
          <w:sz w:val="24"/>
        </w:rPr>
        <w:t>号）的要求进行。</w:t>
      </w:r>
    </w:p>
    <w:p>
      <w:pPr>
        <w:rPr>
          <w:rFonts w:cs="宋体" w:asciiTheme="minorEastAsia" w:hAnsiTheme="minorEastAsia" w:eastAsiaTheme="minorEastAsia"/>
          <w:sz w:val="24"/>
        </w:rPr>
      </w:pPr>
      <w:bookmarkStart w:id="704" w:name="_Toc217446111"/>
      <w:bookmarkStart w:id="705" w:name="_Toc31935"/>
      <w:r>
        <w:rPr>
          <w:rFonts w:hint="eastAsia" w:cs="宋体" w:asciiTheme="minorEastAsia" w:hAnsiTheme="minorEastAsia" w:eastAsiaTheme="minorEastAsia"/>
          <w:sz w:val="24"/>
        </w:rPr>
        <w:t>五、付款方式</w:t>
      </w:r>
      <w:bookmarkEnd w:id="704"/>
      <w:bookmarkEnd w:id="705"/>
    </w:p>
    <w:p>
      <w:pPr>
        <w:rPr>
          <w:rFonts w:cs="宋体" w:asciiTheme="minorEastAsia" w:hAnsiTheme="minorEastAsia" w:eastAsiaTheme="minorEastAsia"/>
          <w:sz w:val="24"/>
        </w:rPr>
      </w:pPr>
      <w:r>
        <w:rPr>
          <w:rFonts w:hint="eastAsia" w:cs="宋体" w:asciiTheme="minorEastAsia" w:hAnsiTheme="minorEastAsia" w:eastAsiaTheme="minorEastAsia"/>
          <w:sz w:val="24"/>
        </w:rPr>
        <w:t>（一）适用于无预付款采购项目</w:t>
      </w:r>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、全部货物安装调试完毕并验收合格之日起，甲方接到乙方通知与票据凭证资料以后的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日内，按照财政性资金支付有关规定，向乙方支付合同价款￥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、履约保证金退还：在货物验收合格满</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后，甲方接到乙方通知和支付凭证资料文件，以及由甲方确认本合同货物质量与服务等约定事项已经履行完毕的正式书面文件后的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日内，递交结算凭证资料给银行并由其向乙方支付价款￥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元整；乙方履约不合格的，履约保证金不予退还。</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、乙方须向甲方出具合法有效完整的完税发票及凭证资料进行支付结算。</w:t>
      </w:r>
    </w:p>
    <w:p>
      <w:pPr>
        <w:rPr>
          <w:rFonts w:cs="宋体" w:asciiTheme="minorEastAsia" w:hAnsiTheme="minorEastAsia" w:eastAsiaTheme="minorEastAsia"/>
          <w:sz w:val="24"/>
        </w:rPr>
      </w:pPr>
      <w:r>
        <w:rPr>
          <w:rFonts w:hint="eastAsia" w:cs="宋体" w:asciiTheme="minorEastAsia" w:hAnsiTheme="minorEastAsia" w:eastAsiaTheme="minorEastAsia"/>
          <w:sz w:val="24"/>
        </w:rPr>
        <w:t>（二）适用于有预付款采购项目（预付款建议不超过采购合同金额的</w:t>
      </w:r>
      <w:r>
        <w:rPr>
          <w:rFonts w:cs="宋体" w:asciiTheme="minorEastAsia" w:hAnsiTheme="minorEastAsia" w:eastAsiaTheme="minorEastAsia"/>
          <w:sz w:val="24"/>
        </w:rPr>
        <w:t>30%</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、甲方在本合同签订生效之日起接到乙方通知和票据凭证资料以及乙方交给甲方的合同履约保证金（按合同总价的百分之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计算款额￥</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日内支付合同金额百分之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的价款；</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、全部货物安装调试完毕并验收合格之日起，甲方接到乙方通知与票据凭证资料以后的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日内，提交支付凭证资料给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财政国库支付执行机构办理财政国库支付手续，并由其向乙方核拨合同总价的百分之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款项：￥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、履约保证金退还：在货物验收合格满</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后，甲方接到乙方通知和支付凭证资料文件，以及由甲方确认本合同货物质量与服务等约定事项已经履行完毕的正式书面文件后的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日内，递交结算凭证资料给银行并由其向乙方支付价款￥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元整；乙方履约不合格的，履约保证金不予退还。</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、乙方须向甲方出具合法有效完整的完税发票及凭证资料进行支付结算。</w:t>
      </w:r>
    </w:p>
    <w:p>
      <w:pPr>
        <w:rPr>
          <w:rFonts w:cs="宋体" w:asciiTheme="minorEastAsia" w:hAnsiTheme="minorEastAsia" w:eastAsiaTheme="minorEastAsia"/>
          <w:sz w:val="24"/>
        </w:rPr>
      </w:pPr>
      <w:bookmarkStart w:id="706" w:name="_Toc217446112"/>
      <w:bookmarkStart w:id="707" w:name="_Toc24471"/>
      <w:r>
        <w:rPr>
          <w:rFonts w:hint="eastAsia" w:cs="宋体" w:asciiTheme="minorEastAsia" w:hAnsiTheme="minorEastAsia" w:eastAsiaTheme="minorEastAsia"/>
          <w:sz w:val="24"/>
        </w:rPr>
        <w:t>六、售后服务</w:t>
      </w:r>
      <w:bookmarkEnd w:id="706"/>
      <w:bookmarkEnd w:id="707"/>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、质保期为验收合格后</w:t>
      </w:r>
      <w:r>
        <w:rPr>
          <w:rFonts w:cs="宋体" w:asciiTheme="minorEastAsia" w:hAnsiTheme="minorEastAsia" w:eastAsiaTheme="minorEastAsia"/>
          <w:sz w:val="24"/>
        </w:rPr>
        <w:t>XX</w:t>
      </w:r>
      <w:r>
        <w:rPr>
          <w:rFonts w:hint="eastAsia" w:cs="宋体" w:asciiTheme="minorEastAsia" w:hAnsiTheme="minorEastAsia" w:eastAsiaTheme="minorEastAsia"/>
          <w:sz w:val="24"/>
        </w:rPr>
        <w:t>年，质保期内出现质量问题，乙方在接到通知后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小时内响应到场，</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小时内完成维修或更换，并承担修理调换的费用；如货物经乙方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次维修仍不能达到本合同约定的质量标准，视作乙方未能按时交货，甲方有权退货并追究乙方的违约责任。货到现场后由于甲方保管不当造成的问题，乙方亦应负责修复，但费用由甲方负担。</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、乙方须指派专人负责与甲方联系售后服务事宜。</w:t>
      </w:r>
      <w:r>
        <w:rPr>
          <w:rFonts w:cs="宋体" w:asciiTheme="minorEastAsia" w:hAnsiTheme="minorEastAsia" w:eastAsiaTheme="minorEastAsia"/>
          <w:sz w:val="24"/>
        </w:rPr>
        <w:t> </w:t>
      </w:r>
    </w:p>
    <w:p>
      <w:pPr>
        <w:rPr>
          <w:rFonts w:cs="宋体" w:asciiTheme="minorEastAsia" w:hAnsiTheme="minorEastAsia" w:eastAsiaTheme="minorEastAsia"/>
          <w:sz w:val="24"/>
        </w:rPr>
      </w:pPr>
      <w:bookmarkStart w:id="708" w:name="_Toc217446113"/>
      <w:bookmarkStart w:id="709" w:name="_Toc16028"/>
      <w:r>
        <w:rPr>
          <w:rFonts w:hint="eastAsia" w:cs="宋体" w:asciiTheme="minorEastAsia" w:hAnsiTheme="minorEastAsia" w:eastAsiaTheme="minorEastAsia"/>
          <w:sz w:val="24"/>
        </w:rPr>
        <w:t>七、违约责任</w:t>
      </w:r>
      <w:bookmarkEnd w:id="708"/>
      <w:bookmarkEnd w:id="709"/>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、甲方违约责任</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甲方无正当理由拒收货物的，甲方应偿付合同总价百分之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的违约金；</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甲方逾期支付货款的，除应及时付足货款外，应向乙方偿付欠款总额万分之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天的违约金；逾期付款超过</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天的，乙方有权终止合同；</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甲方偿付的违约金不足以弥补乙方损失的，还应按乙方损失尚未弥补的部分，支付赔偿金给乙方。</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、乙方违约责任</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）乙方交付的货物质量不符合合同规定的，乙方应向甲方支付合同总价的百分之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的违约金，并须在合同规定的交货时间内更换合格的货物给甲方，否则，视作乙方不能交付货物而违约，按本条本款下述第“（</w:t>
      </w:r>
      <w:r>
        <w:rPr>
          <w:rFonts w:cs="宋体" w:asciiTheme="minorEastAsia" w:hAnsiTheme="minorEastAsia" w:eastAsiaTheme="minorEastAsia"/>
          <w:sz w:val="24"/>
        </w:rPr>
        <w:t>2</w:t>
      </w:r>
      <w:r>
        <w:rPr>
          <w:rFonts w:hint="eastAsia" w:cs="宋体" w:asciiTheme="minorEastAsia" w:hAnsiTheme="minorEastAsia" w:eastAsiaTheme="minorEastAsia"/>
          <w:sz w:val="24"/>
        </w:rPr>
        <w:t>）”项规定由乙方偿付违约赔偿金给甲方。</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）乙方不能交付货物或逾期交付货物而违约的，除应及时交足货物外，应向甲方偿付逾期交货部分货款总额的万分之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天的违约金；逾期交货超过</w:t>
      </w:r>
      <w:r>
        <w:rPr>
          <w:rFonts w:cs="宋体" w:asciiTheme="minorEastAsia" w:hAnsiTheme="minorEastAsia" w:eastAsiaTheme="minorEastAsia"/>
          <w:sz w:val="24"/>
        </w:rPr>
        <w:t>XX</w:t>
      </w:r>
      <w:r>
        <w:rPr>
          <w:rFonts w:hint="eastAsia" w:cs="宋体" w:asciiTheme="minorEastAsia" w:hAnsiTheme="minorEastAsia" w:eastAsiaTheme="minorEastAsia"/>
          <w:sz w:val="24"/>
        </w:rPr>
        <w:t>天，甲方有权终止合同，乙方则应按合同总价的百分之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的款额向甲方偿付赔偿金，并须全额退还甲方已经付给乙方的货款及其利息。</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）乙方货物经甲方送交具有法定资格条件的质量技术监督机构检测后，如检测结果认定货物质量不符合本合同规定标准的，则视为乙方没有按时交货而违约，乙方须在</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天内无条件更换合格的货物，如逾期不能更换合格的货物，甲方有权终止本合同，乙方应另付合同总价的百分之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的赔偿金给甲方。</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向甲方支付违约金并赔偿因此给甲方造成的一切损失。</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5</w:t>
      </w:r>
      <w:r>
        <w:rPr>
          <w:rFonts w:hint="eastAsia" w:cs="宋体" w:asciiTheme="minorEastAsia" w:hAnsiTheme="minorEastAsia" w:eastAsiaTheme="minorEastAsia"/>
          <w:sz w:val="24"/>
        </w:rPr>
        <w:t>）乙方偿付的违约金不足以弥补甲方损失的，还应按甲方损失尚未弥补的部分，支付赔偿金给甲方。</w:t>
      </w:r>
    </w:p>
    <w:p>
      <w:pPr>
        <w:rPr>
          <w:rFonts w:cs="宋体" w:asciiTheme="minorEastAsia" w:hAnsiTheme="minorEastAsia" w:eastAsiaTheme="minorEastAsia"/>
          <w:sz w:val="24"/>
        </w:rPr>
      </w:pPr>
      <w:bookmarkStart w:id="710" w:name="_Toc13778"/>
      <w:bookmarkStart w:id="711" w:name="_Toc217446114"/>
      <w:r>
        <w:rPr>
          <w:rFonts w:hint="eastAsia" w:cs="宋体" w:asciiTheme="minorEastAsia" w:hAnsiTheme="minorEastAsia" w:eastAsiaTheme="minorEastAsia"/>
          <w:sz w:val="24"/>
        </w:rPr>
        <w:t>八、争议解决办法</w:t>
      </w:r>
      <w:bookmarkEnd w:id="710"/>
      <w:bookmarkEnd w:id="711"/>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、因货物的质量问题发生争议，由质量技术监督部门或其指定的质量鉴定机构进行质量鉴定。货物符合标准的，鉴定费由甲方承担；货物不符合质量标准的，鉴定费由乙方承担。</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、合同履行期间</w:t>
      </w:r>
      <w:r>
        <w:rPr>
          <w:rFonts w:cs="宋体" w:asciiTheme="minorEastAsia" w:hAnsiTheme="minorEastAsia" w:eastAsiaTheme="minorEastAsia"/>
          <w:sz w:val="24"/>
        </w:rPr>
        <w:t>,</w:t>
      </w:r>
      <w:r>
        <w:rPr>
          <w:rFonts w:hint="eastAsia" w:cs="宋体" w:asciiTheme="minorEastAsia" w:hAnsiTheme="minorEastAsia" w:eastAsiaTheme="minorEastAsia"/>
          <w:sz w:val="24"/>
        </w:rPr>
        <w:t>若双方发生争议，可协商或由有关部门调解解决，协商或调解不成的，由当事人依法维护其合法权益。</w:t>
      </w:r>
    </w:p>
    <w:p>
      <w:pPr>
        <w:rPr>
          <w:rFonts w:cs="宋体" w:asciiTheme="minorEastAsia" w:hAnsiTheme="minorEastAsia" w:eastAsiaTheme="minorEastAsia"/>
          <w:sz w:val="24"/>
        </w:rPr>
      </w:pPr>
      <w:bookmarkStart w:id="712" w:name="_Toc217446115"/>
      <w:bookmarkStart w:id="713" w:name="_Toc21134"/>
      <w:r>
        <w:rPr>
          <w:rFonts w:hint="eastAsia" w:cs="宋体" w:asciiTheme="minorEastAsia" w:hAnsiTheme="minorEastAsia" w:eastAsiaTheme="minorEastAsia"/>
          <w:sz w:val="24"/>
        </w:rPr>
        <w:t>九、其他</w:t>
      </w:r>
      <w:bookmarkEnd w:id="712"/>
      <w:bookmarkEnd w:id="713"/>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、如有未尽事宜，由双方依法订立补充合同。</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、本合同一式</w:t>
      </w:r>
      <w:r>
        <w:rPr>
          <w:rFonts w:hint="eastAsia" w:asciiTheme="minorEastAsia" w:hAnsiTheme="minorEastAsia" w:eastAsiaTheme="minorEastAsia"/>
          <w:sz w:val="24"/>
        </w:rPr>
        <w:t>XX</w:t>
      </w:r>
      <w:r>
        <w:rPr>
          <w:rFonts w:hint="eastAsia" w:cs="宋体" w:asciiTheme="minorEastAsia" w:hAnsiTheme="minorEastAsia" w:eastAsiaTheme="minorEastAsia"/>
          <w:sz w:val="24"/>
        </w:rPr>
        <w:t>份，自双方签章之日起生效。甲方</w:t>
      </w:r>
      <w:r>
        <w:rPr>
          <w:rFonts w:hint="eastAsia" w:asciiTheme="minorEastAsia" w:hAnsiTheme="minorEastAsia" w:eastAsiaTheme="minorEastAsia"/>
          <w:sz w:val="24"/>
        </w:rPr>
        <w:t>XX</w:t>
      </w:r>
      <w:r>
        <w:rPr>
          <w:rFonts w:hint="eastAsia" w:cs="宋体" w:asciiTheme="minorEastAsia" w:hAnsiTheme="minorEastAsia" w:eastAsiaTheme="minorEastAsia"/>
          <w:sz w:val="24"/>
        </w:rPr>
        <w:t>份，乙方</w:t>
      </w:r>
      <w:r>
        <w:rPr>
          <w:rFonts w:hint="eastAsia" w:asciiTheme="minorEastAsia" w:hAnsiTheme="minorEastAsia" w:eastAsiaTheme="minorEastAsia"/>
          <w:sz w:val="24"/>
        </w:rPr>
        <w:t>XX</w:t>
      </w:r>
      <w:r>
        <w:rPr>
          <w:rFonts w:hint="eastAsia" w:cs="宋体" w:asciiTheme="minorEastAsia" w:hAnsiTheme="minorEastAsia" w:eastAsiaTheme="minorEastAsia"/>
          <w:sz w:val="24"/>
        </w:rPr>
        <w:t>份，采购代理机构各</w:t>
      </w:r>
      <w:r>
        <w:rPr>
          <w:rFonts w:hint="eastAsia" w:asciiTheme="minorEastAsia" w:hAnsiTheme="minorEastAsia" w:eastAsiaTheme="minorEastAsia"/>
          <w:sz w:val="24"/>
        </w:rPr>
        <w:t>XX</w:t>
      </w:r>
      <w:r>
        <w:rPr>
          <w:rFonts w:hint="eastAsia" w:cs="宋体" w:asciiTheme="minorEastAsia" w:hAnsiTheme="minorEastAsia" w:eastAsiaTheme="minorEastAsia"/>
          <w:sz w:val="24"/>
        </w:rPr>
        <w:t>份。</w:t>
      </w: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甲方：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（盖章）</w:t>
      </w:r>
      <w:r>
        <w:rPr>
          <w:rFonts w:cs="宋体" w:asciiTheme="minorEastAsia" w:hAnsiTheme="minorEastAsia" w:eastAsiaTheme="minorEastAsia"/>
          <w:sz w:val="24"/>
        </w:rPr>
        <w:t xml:space="preserve">   </w:t>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（盖章）</w:t>
      </w:r>
    </w:p>
    <w:p>
      <w:pPr>
        <w:rPr>
          <w:rFonts w:cs="宋体" w:asciiTheme="minorEastAsia" w:hAnsiTheme="minorEastAsia" w:eastAsiaTheme="minorEastAsia"/>
          <w:sz w:val="24"/>
        </w:rPr>
      </w:pPr>
      <w:r>
        <w:rPr>
          <w:rFonts w:hint="eastAsia" w:cs="宋体" w:asciiTheme="minorEastAsia" w:hAnsiTheme="minorEastAsia" w:eastAsiaTheme="minorEastAsia"/>
          <w:sz w:val="24"/>
        </w:rPr>
        <w:t>法定代表人（授权代表）：</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法定代表人（授权代表）：</w:t>
      </w:r>
    </w:p>
    <w:p>
      <w:pPr>
        <w:rPr>
          <w:rFonts w:cs="宋体" w:asciiTheme="minorEastAsia" w:hAnsiTheme="minorEastAsia" w:eastAsiaTheme="minorEastAsia"/>
          <w:sz w:val="24"/>
        </w:rPr>
      </w:pPr>
      <w:r>
        <w:rPr>
          <w:rFonts w:hint="eastAsia" w:cs="宋体" w:asciiTheme="minorEastAsia" w:hAnsiTheme="minorEastAsia" w:eastAsiaTheme="minorEastAsia"/>
          <w:sz w:val="24"/>
        </w:rPr>
        <w:t>经办人员：                         经办人员：</w:t>
      </w:r>
    </w:p>
    <w:p>
      <w:pPr>
        <w:rPr>
          <w:rFonts w:cs="宋体" w:asciiTheme="minorEastAsia" w:hAnsiTheme="minorEastAsia" w:eastAsiaTheme="minorEastAsia"/>
          <w:sz w:val="24"/>
        </w:rPr>
      </w:pPr>
      <w:r>
        <w:rPr>
          <w:rFonts w:hint="eastAsia" w:cs="宋体" w:asciiTheme="minorEastAsia" w:hAnsiTheme="minorEastAsia" w:eastAsiaTheme="minorEastAsia"/>
          <w:sz w:val="24"/>
        </w:rPr>
        <w:t>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址：</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址：</w:t>
      </w:r>
    </w:p>
    <w:p>
      <w:pPr>
        <w:rPr>
          <w:rFonts w:cs="宋体" w:asciiTheme="minorEastAsia" w:hAnsiTheme="minorEastAsia" w:eastAsiaTheme="minorEastAsia"/>
          <w:sz w:val="24"/>
        </w:rPr>
      </w:pPr>
      <w:r>
        <w:rPr>
          <w:rFonts w:hint="eastAsia" w:cs="宋体" w:asciiTheme="minorEastAsia" w:hAnsiTheme="minorEastAsia" w:eastAsiaTheme="minorEastAsia"/>
          <w:sz w:val="24"/>
        </w:rPr>
        <w:t>开户银行：</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开户银行：</w:t>
      </w:r>
    </w:p>
    <w:p>
      <w:pPr>
        <w:rPr>
          <w:rFonts w:cs="宋体" w:asciiTheme="minorEastAsia" w:hAnsiTheme="minorEastAsia" w:eastAsiaTheme="minorEastAsia"/>
          <w:sz w:val="24"/>
        </w:rPr>
      </w:pPr>
      <w:r>
        <w:rPr>
          <w:rFonts w:hint="eastAsia" w:cs="宋体" w:asciiTheme="minorEastAsia" w:hAnsiTheme="minorEastAsia" w:eastAsiaTheme="minorEastAsia"/>
          <w:sz w:val="24"/>
        </w:rPr>
        <w:t>账号：</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账号：</w:t>
      </w:r>
    </w:p>
    <w:p>
      <w:pPr>
        <w:rPr>
          <w:rFonts w:cs="宋体" w:asciiTheme="minorEastAsia" w:hAnsiTheme="minorEastAsia" w:eastAsiaTheme="minorEastAsia"/>
          <w:sz w:val="24"/>
        </w:rPr>
      </w:pPr>
      <w:r>
        <w:rPr>
          <w:rFonts w:hint="eastAsia" w:cs="宋体" w:asciiTheme="minorEastAsia" w:hAnsiTheme="minorEastAsia" w:eastAsiaTheme="minorEastAsia"/>
          <w:sz w:val="24"/>
        </w:rPr>
        <w:t>电</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话：</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电</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话：</w:t>
      </w:r>
    </w:p>
    <w:p>
      <w:pPr>
        <w:rPr>
          <w:rFonts w:cs="宋体" w:asciiTheme="minorEastAsia" w:hAnsiTheme="minorEastAsia" w:eastAsiaTheme="minorEastAsia"/>
          <w:sz w:val="24"/>
        </w:rPr>
      </w:pPr>
      <w:r>
        <w:rPr>
          <w:rFonts w:hint="eastAsia" w:cs="宋体" w:asciiTheme="minorEastAsia" w:hAnsiTheme="minorEastAsia" w:eastAsiaTheme="minorEastAsia"/>
          <w:sz w:val="24"/>
        </w:rPr>
        <w:t>传</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传</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真：</w:t>
      </w:r>
    </w:p>
    <w:p>
      <w:pPr>
        <w:rPr>
          <w:rFonts w:cs="宋体" w:asciiTheme="minorEastAsia" w:hAnsiTheme="minorEastAsia" w:eastAsiaTheme="minorEastAsia"/>
          <w:sz w:val="24"/>
        </w:rPr>
      </w:pPr>
      <w:r>
        <w:rPr>
          <w:rFonts w:hint="eastAsia" w:cs="宋体" w:asciiTheme="minorEastAsia" w:hAnsiTheme="minorEastAsia" w:eastAsiaTheme="minorEastAsia"/>
          <w:sz w:val="24"/>
        </w:rPr>
        <w:t>签约日期：</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r>
        <w:rPr>
          <w:rFonts w:cs="宋体" w:asciiTheme="minorEastAsia" w:hAnsiTheme="minorEastAsia" w:eastAsiaTheme="minorEastAsia"/>
          <w:sz w:val="24"/>
        </w:rPr>
        <w:t xml:space="preserve"> </w:t>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ab/>
      </w:r>
      <w:r>
        <w:rPr>
          <w:rFonts w:hint="eastAsia" w:cs="宋体" w:asciiTheme="minorEastAsia" w:hAnsiTheme="minorEastAsia" w:eastAsiaTheme="minorEastAsia"/>
          <w:sz w:val="24"/>
        </w:rPr>
        <w:t>签约日期：</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p>
    <w:p>
      <w:pPr>
        <w:rPr>
          <w:rFonts w:cs="宋体" w:asciiTheme="minorEastAsia" w:hAnsiTheme="minorEastAsia" w:eastAsiaTheme="minor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长城仿宋">
    <w:altName w:val="宋体"/>
    <w:panose1 w:val="00000000000000000000"/>
    <w:charset w:val="86"/>
    <w:family w:val="decorative"/>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tabs>
        <w:tab w:val="left" w:pos="2859"/>
        <w:tab w:val="center" w:pos="4539"/>
        <w:tab w:val="clear" w:pos="4153"/>
      </w:tabs>
      <w:rPr>
        <w:rStyle w:val="28"/>
      </w:rPr>
    </w:pPr>
  </w:p>
  <w:p>
    <w:pPr>
      <w:pStyle w:val="15"/>
      <w:framePr w:wrap="around" w:vAnchor="text" w:hAnchor="margin" w:xAlign="center" w:y="1"/>
      <w:rPr>
        <w:rStyle w:val="28"/>
      </w:rPr>
    </w:pPr>
  </w:p>
  <w:p>
    <w:pPr>
      <w:pStyle w:val="15"/>
      <w:framePr w:wrap="around" w:vAnchor="text" w:hAnchor="margin" w:xAlign="center" w:y="1"/>
      <w:rPr>
        <w:rStyle w:val="28"/>
      </w:rPr>
    </w:pPr>
  </w:p>
  <w:p>
    <w:pPr>
      <w:pStyle w:val="15"/>
      <w:framePr w:wrap="around" w:vAnchor="text" w:hAnchor="margin" w:xAlign="center" w:y="1"/>
      <w:rPr>
        <w:rStyle w:val="28"/>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 xml:space="preserve"> </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6685"/>
        <w:tab w:val="clear" w:pos="4153"/>
      </w:tabs>
    </w:pPr>
    <w:r>
      <w:pict>
        <v:shape id="文本框 7" o:spid="_x0000_s4097" o:spt="202" type="#_x0000_t202" style="position:absolute;left:0pt;margin-left:196.2pt;margin-top:0pt;height:11.65pt;width:76.55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rFonts w:hint="eastAsia"/>
                    <w:sz w:val="18"/>
                  </w:rPr>
                  <w:t>页</w:t>
                </w:r>
              </w:p>
            </w:txbxContent>
          </v:textbox>
        </v:shape>
      </w:pict>
    </w:r>
    <w:r>
      <w:pict>
        <v:line id="直线 8" o:spid="_x0000_s4098" o:spt="20" style="position:absolute;left:0pt;margin-left:-1pt;margin-top:-8.3pt;height:0.75pt;width:449.25pt;z-index:251658240;mso-width-relative:page;mso-height-relative:page;" coordsize="21600,21600">
          <v:path arrowok="t"/>
          <v:fill focussize="0,0"/>
          <v:stroke/>
          <v:imagedata o:title=""/>
          <o:lock v:ext="edit"/>
        </v:line>
      </w:pict>
    </w:r>
    <w:r>
      <w:rPr>
        <w:rFonts w:hint="eastAsia"/>
      </w:rPr>
      <w:t>德阳市旌阳区天元镇天元路</w:t>
    </w:r>
    <w:r>
      <w:t>23</w:t>
    </w:r>
    <w:r>
      <w:rPr>
        <w:rFonts w:hint="eastAsia"/>
      </w:rPr>
      <w:t>号</w:t>
    </w:r>
    <w:r>
      <w:t xml:space="preserve">                                        </w:t>
    </w:r>
    <w:r>
      <w:rPr>
        <w:rFonts w:hint="eastAsia"/>
      </w:rPr>
      <w:t xml:space="preserve">  </w:t>
    </w:r>
    <w:r>
      <w:t xml:space="preserve">   </w:t>
    </w:r>
    <w:r>
      <w:rPr>
        <w:rFonts w:hint="eastAsia"/>
      </w:rPr>
      <w:t>电话：</w:t>
    </w:r>
    <w:r>
      <w:t>0838-2852688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nThickMediumGap" w:color="auto" w:sz="18" w:space="0"/>
      </w:pBdr>
      <w:jc w:val="left"/>
      <w:textAlignment w:val="center"/>
    </w:pPr>
    <w:r>
      <w:rPr>
        <w:rFonts w:ascii="宋体" w:hAnsi="宋体" w:cs="宋体"/>
        <w:kern w:val="0"/>
        <w:sz w:val="24"/>
      </w:rPr>
      <w:t xml:space="preserve"> </w:t>
    </w:r>
    <w:r>
      <w:rPr>
        <w:rFonts w:ascii="宋体" w:cs="宋体"/>
        <w:kern w:val="0"/>
        <w:sz w:val="24"/>
      </w:rPr>
      <w:drawing>
        <wp:inline distT="0" distB="0" distL="0" distR="0">
          <wp:extent cx="314325" cy="3048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noChangeArrowheads="1"/>
                  </pic:cNvPicPr>
                </pic:nvPicPr>
                <pic:blipFill>
                  <a:blip r:embed="rId1"/>
                  <a:srcRect/>
                  <a:stretch>
                    <a:fillRect/>
                  </a:stretch>
                </pic:blipFill>
                <pic:spPr>
                  <a:xfrm>
                    <a:off x="0" y="0"/>
                    <a:ext cx="314325" cy="304800"/>
                  </a:xfrm>
                  <a:prstGeom prst="rect">
                    <a:avLst/>
                  </a:prstGeom>
                  <a:noFill/>
                  <a:ln w="9525">
                    <a:noFill/>
                    <a:miter lim="800000"/>
                    <a:headEnd/>
                    <a:tailEnd/>
                  </a:ln>
                </pic:spPr>
              </pic:pic>
            </a:graphicData>
          </a:graphic>
        </wp:inline>
      </w:drawing>
    </w:r>
    <w:r>
      <w:rPr>
        <w:rFonts w:hint="eastAsia" w:ascii="宋体" w:hAnsi="宋体" w:cs="宋体"/>
        <w:kern w:val="0"/>
        <w:sz w:val="24"/>
      </w:rPr>
      <w:t>四川正通建设项目管理有限公司</w:t>
    </w:r>
    <w:r>
      <w:rPr>
        <w:rFonts w:ascii="宋体" w:hAnsi="宋体" w:cs="宋体"/>
        <w:kern w:val="0"/>
        <w:sz w:val="24"/>
      </w:rPr>
      <w:t xml:space="preserve">             </w:t>
    </w:r>
    <w:r>
      <w:rPr>
        <w:rFonts w:hint="eastAsia" w:ascii="宋体" w:hAnsi="宋体" w:cs="宋体"/>
        <w:kern w:val="0"/>
        <w:sz w:val="24"/>
      </w:rPr>
      <w:t>公平</w:t>
    </w:r>
    <w:r>
      <w:rPr>
        <w:rFonts w:ascii="宋体" w:hAnsi="宋体" w:cs="宋体"/>
        <w:kern w:val="0"/>
        <w:sz w:val="24"/>
      </w:rPr>
      <w:t xml:space="preserve">  </w:t>
    </w:r>
    <w:r>
      <w:rPr>
        <w:rFonts w:hint="eastAsia" w:ascii="宋体" w:hAnsi="宋体" w:cs="宋体"/>
        <w:kern w:val="0"/>
        <w:sz w:val="24"/>
      </w:rPr>
      <w:t>公正</w:t>
    </w:r>
    <w:r>
      <w:rPr>
        <w:rFonts w:ascii="宋体" w:hAnsi="宋体" w:cs="宋体"/>
        <w:kern w:val="0"/>
        <w:sz w:val="24"/>
      </w:rPr>
      <w:t xml:space="preserve">  </w:t>
    </w:r>
    <w:r>
      <w:rPr>
        <w:rFonts w:hint="eastAsia" w:ascii="宋体" w:hAnsi="宋体" w:cs="宋体"/>
        <w:kern w:val="0"/>
        <w:sz w:val="24"/>
      </w:rPr>
      <w:t>公开</w:t>
    </w:r>
    <w:r>
      <w:rPr>
        <w:rFonts w:ascii="宋体" w:hAnsi="宋体" w:cs="宋体"/>
        <w:kern w:val="0"/>
        <w:sz w:val="24"/>
      </w:rPr>
      <w:t xml:space="preserve">  </w:t>
    </w:r>
    <w:r>
      <w:rPr>
        <w:rFonts w:hint="eastAsia" w:ascii="宋体" w:hAnsi="宋体" w:cs="宋体"/>
        <w:kern w:val="0"/>
        <w:sz w:val="24"/>
      </w:rPr>
      <w:t>诚实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四川省工商行政管理局数据中心建设项目政府采购</w:t>
    </w:r>
    <w:r>
      <w:t>—</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E8579"/>
    <w:multiLevelType w:val="singleLevel"/>
    <w:tmpl w:val="92BE8579"/>
    <w:lvl w:ilvl="0" w:tentative="0">
      <w:start w:val="1"/>
      <w:numFmt w:val="decimal"/>
      <w:lvlText w:val="%1."/>
      <w:lvlJc w:val="left"/>
      <w:pPr>
        <w:tabs>
          <w:tab w:val="left" w:pos="312"/>
        </w:tabs>
      </w:pPr>
    </w:lvl>
  </w:abstractNum>
  <w:abstractNum w:abstractNumId="1">
    <w:nsid w:val="A2F5C0DD"/>
    <w:multiLevelType w:val="singleLevel"/>
    <w:tmpl w:val="A2F5C0DD"/>
    <w:lvl w:ilvl="0" w:tentative="0">
      <w:start w:val="1"/>
      <w:numFmt w:val="decimal"/>
      <w:lvlText w:val="%1."/>
      <w:lvlJc w:val="left"/>
      <w:pPr>
        <w:tabs>
          <w:tab w:val="left" w:pos="312"/>
        </w:tabs>
      </w:pPr>
    </w:lvl>
  </w:abstractNum>
  <w:abstractNum w:abstractNumId="2">
    <w:nsid w:val="A744A0E0"/>
    <w:multiLevelType w:val="singleLevel"/>
    <w:tmpl w:val="A744A0E0"/>
    <w:lvl w:ilvl="0" w:tentative="0">
      <w:start w:val="1"/>
      <w:numFmt w:val="decimal"/>
      <w:lvlText w:val="%1."/>
      <w:lvlJc w:val="left"/>
      <w:pPr>
        <w:tabs>
          <w:tab w:val="left" w:pos="312"/>
        </w:tabs>
      </w:pPr>
    </w:lvl>
  </w:abstractNum>
  <w:abstractNum w:abstractNumId="3">
    <w:nsid w:val="AC743F23"/>
    <w:multiLevelType w:val="singleLevel"/>
    <w:tmpl w:val="AC743F23"/>
    <w:lvl w:ilvl="0" w:tentative="0">
      <w:start w:val="1"/>
      <w:numFmt w:val="decimal"/>
      <w:lvlText w:val="%1."/>
      <w:lvlJc w:val="left"/>
      <w:pPr>
        <w:tabs>
          <w:tab w:val="left" w:pos="312"/>
        </w:tabs>
      </w:pPr>
    </w:lvl>
  </w:abstractNum>
  <w:abstractNum w:abstractNumId="4">
    <w:nsid w:val="AFE4C75C"/>
    <w:multiLevelType w:val="singleLevel"/>
    <w:tmpl w:val="AFE4C75C"/>
    <w:lvl w:ilvl="0" w:tentative="0">
      <w:start w:val="1"/>
      <w:numFmt w:val="decimal"/>
      <w:lvlText w:val="%1."/>
      <w:lvlJc w:val="left"/>
      <w:pPr>
        <w:tabs>
          <w:tab w:val="left" w:pos="312"/>
        </w:tabs>
      </w:pPr>
    </w:lvl>
  </w:abstractNum>
  <w:abstractNum w:abstractNumId="5">
    <w:nsid w:val="F5646275"/>
    <w:multiLevelType w:val="singleLevel"/>
    <w:tmpl w:val="F5646275"/>
    <w:lvl w:ilvl="0" w:tentative="0">
      <w:start w:val="1"/>
      <w:numFmt w:val="decimal"/>
      <w:lvlText w:val="%1."/>
      <w:lvlJc w:val="left"/>
      <w:pPr>
        <w:tabs>
          <w:tab w:val="left" w:pos="312"/>
        </w:tabs>
      </w:pPr>
    </w:lvl>
  </w:abstractNum>
  <w:abstractNum w:abstractNumId="6">
    <w:nsid w:val="0ACD0127"/>
    <w:multiLevelType w:val="multilevel"/>
    <w:tmpl w:val="0ACD0127"/>
    <w:lvl w:ilvl="0" w:tentative="0">
      <w:start w:val="8"/>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0CCC0AF8"/>
    <w:multiLevelType w:val="singleLevel"/>
    <w:tmpl w:val="0CCC0AF8"/>
    <w:lvl w:ilvl="0" w:tentative="0">
      <w:start w:val="1"/>
      <w:numFmt w:val="decimal"/>
      <w:lvlText w:val="%1."/>
      <w:lvlJc w:val="left"/>
      <w:pPr>
        <w:tabs>
          <w:tab w:val="left" w:pos="312"/>
        </w:tabs>
      </w:pPr>
    </w:lvl>
  </w:abstractNum>
  <w:abstractNum w:abstractNumId="8">
    <w:nsid w:val="1E29492B"/>
    <w:multiLevelType w:val="singleLevel"/>
    <w:tmpl w:val="1E29492B"/>
    <w:lvl w:ilvl="0" w:tentative="0">
      <w:start w:val="1"/>
      <w:numFmt w:val="decimal"/>
      <w:lvlText w:val="%1."/>
      <w:lvlJc w:val="left"/>
      <w:pPr>
        <w:tabs>
          <w:tab w:val="left" w:pos="312"/>
        </w:tabs>
      </w:pPr>
    </w:lvl>
  </w:abstractNum>
  <w:abstractNum w:abstractNumId="9">
    <w:nsid w:val="32DF8056"/>
    <w:multiLevelType w:val="singleLevel"/>
    <w:tmpl w:val="32DF8056"/>
    <w:lvl w:ilvl="0" w:tentative="0">
      <w:start w:val="1"/>
      <w:numFmt w:val="decimal"/>
      <w:lvlText w:val="%1."/>
      <w:lvlJc w:val="left"/>
      <w:pPr>
        <w:tabs>
          <w:tab w:val="left" w:pos="312"/>
        </w:tabs>
      </w:pPr>
    </w:lvl>
  </w:abstractNum>
  <w:abstractNum w:abstractNumId="10">
    <w:nsid w:val="38A53756"/>
    <w:multiLevelType w:val="singleLevel"/>
    <w:tmpl w:val="38A53756"/>
    <w:lvl w:ilvl="0" w:tentative="0">
      <w:start w:val="1"/>
      <w:numFmt w:val="decimal"/>
      <w:lvlText w:val="%1."/>
      <w:lvlJc w:val="left"/>
      <w:pPr>
        <w:tabs>
          <w:tab w:val="left" w:pos="312"/>
        </w:tabs>
      </w:pPr>
    </w:lvl>
  </w:abstractNum>
  <w:abstractNum w:abstractNumId="11">
    <w:nsid w:val="39FA4338"/>
    <w:multiLevelType w:val="singleLevel"/>
    <w:tmpl w:val="39FA4338"/>
    <w:lvl w:ilvl="0" w:tentative="0">
      <w:start w:val="1"/>
      <w:numFmt w:val="decimal"/>
      <w:lvlText w:val="%1."/>
      <w:lvlJc w:val="left"/>
      <w:pPr>
        <w:tabs>
          <w:tab w:val="left" w:pos="312"/>
        </w:tabs>
      </w:pPr>
    </w:lvl>
  </w:abstractNum>
  <w:abstractNum w:abstractNumId="12">
    <w:nsid w:val="3B363D98"/>
    <w:multiLevelType w:val="multilevel"/>
    <w:tmpl w:val="3B363D98"/>
    <w:lvl w:ilvl="0" w:tentative="0">
      <w:start w:val="1"/>
      <w:numFmt w:val="decimal"/>
      <w:pStyle w:val="7"/>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13">
    <w:nsid w:val="58D1DC34"/>
    <w:multiLevelType w:val="singleLevel"/>
    <w:tmpl w:val="58D1DC34"/>
    <w:lvl w:ilvl="0" w:tentative="0">
      <w:start w:val="3"/>
      <w:numFmt w:val="decimal"/>
      <w:suff w:val="nothing"/>
      <w:lvlText w:val="（%1）"/>
      <w:lvlJc w:val="left"/>
      <w:rPr>
        <w:rFonts w:cs="Times New Roman"/>
      </w:rPr>
    </w:lvl>
  </w:abstractNum>
  <w:abstractNum w:abstractNumId="14">
    <w:nsid w:val="58D1DCF3"/>
    <w:multiLevelType w:val="singleLevel"/>
    <w:tmpl w:val="58D1DCF3"/>
    <w:lvl w:ilvl="0" w:tentative="0">
      <w:start w:val="4"/>
      <w:numFmt w:val="chineseCounting"/>
      <w:suff w:val="nothing"/>
      <w:lvlText w:val="%1、"/>
      <w:lvlJc w:val="left"/>
      <w:rPr>
        <w:rFonts w:cs="Times New Roman"/>
      </w:rPr>
    </w:lvl>
  </w:abstractNum>
  <w:abstractNum w:abstractNumId="15">
    <w:nsid w:val="5A27FFC6"/>
    <w:multiLevelType w:val="singleLevel"/>
    <w:tmpl w:val="5A27FFC6"/>
    <w:lvl w:ilvl="0" w:tentative="0">
      <w:start w:val="1"/>
      <w:numFmt w:val="decimal"/>
      <w:suff w:val="nothing"/>
      <w:lvlText w:val="%1）"/>
      <w:lvlJc w:val="left"/>
    </w:lvl>
  </w:abstractNum>
  <w:abstractNum w:abstractNumId="16">
    <w:nsid w:val="5B2DA59B"/>
    <w:multiLevelType w:val="singleLevel"/>
    <w:tmpl w:val="5B2DA59B"/>
    <w:lvl w:ilvl="0" w:tentative="0">
      <w:start w:val="1"/>
      <w:numFmt w:val="decimal"/>
      <w:lvlText w:val="%1."/>
      <w:lvlJc w:val="left"/>
      <w:pPr>
        <w:tabs>
          <w:tab w:val="left" w:pos="312"/>
        </w:tabs>
      </w:pPr>
    </w:lvl>
  </w:abstractNum>
  <w:abstractNum w:abstractNumId="17">
    <w:nsid w:val="5F6779FE"/>
    <w:multiLevelType w:val="singleLevel"/>
    <w:tmpl w:val="5F6779FE"/>
    <w:lvl w:ilvl="0" w:tentative="0">
      <w:start w:val="1"/>
      <w:numFmt w:val="decimal"/>
      <w:lvlText w:val="%1."/>
      <w:lvlJc w:val="left"/>
      <w:pPr>
        <w:tabs>
          <w:tab w:val="left" w:pos="312"/>
        </w:tabs>
      </w:pPr>
    </w:lvl>
  </w:abstractNum>
  <w:num w:numId="1">
    <w:abstractNumId w:val="12"/>
  </w:num>
  <w:num w:numId="2">
    <w:abstractNumId w:val="13"/>
  </w:num>
  <w:num w:numId="3">
    <w:abstractNumId w:val="6"/>
  </w:num>
  <w:num w:numId="4">
    <w:abstractNumId w:val="14"/>
  </w:num>
  <w:num w:numId="5">
    <w:abstractNumId w:val="2"/>
  </w:num>
  <w:num w:numId="6">
    <w:abstractNumId w:val="5"/>
  </w:num>
  <w:num w:numId="7">
    <w:abstractNumId w:val="15"/>
  </w:num>
  <w:num w:numId="8">
    <w:abstractNumId w:val="10"/>
  </w:num>
  <w:num w:numId="9">
    <w:abstractNumId w:val="1"/>
  </w:num>
  <w:num w:numId="10">
    <w:abstractNumId w:val="11"/>
  </w:num>
  <w:num w:numId="11">
    <w:abstractNumId w:val="9"/>
  </w:num>
  <w:num w:numId="12">
    <w:abstractNumId w:val="16"/>
  </w:num>
  <w:num w:numId="13">
    <w:abstractNumId w:val="0"/>
  </w:num>
  <w:num w:numId="14">
    <w:abstractNumId w:val="8"/>
  </w:num>
  <w:num w:numId="15">
    <w:abstractNumId w:val="7"/>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2129EE"/>
    <w:rsid w:val="0000113B"/>
    <w:rsid w:val="00001279"/>
    <w:rsid w:val="00004487"/>
    <w:rsid w:val="00007C4B"/>
    <w:rsid w:val="0002141D"/>
    <w:rsid w:val="000243DC"/>
    <w:rsid w:val="00026475"/>
    <w:rsid w:val="00026EA2"/>
    <w:rsid w:val="000276BB"/>
    <w:rsid w:val="00030870"/>
    <w:rsid w:val="00033912"/>
    <w:rsid w:val="00035F6B"/>
    <w:rsid w:val="0004560D"/>
    <w:rsid w:val="00050C7A"/>
    <w:rsid w:val="00056E83"/>
    <w:rsid w:val="000649B6"/>
    <w:rsid w:val="00072407"/>
    <w:rsid w:val="00077AE6"/>
    <w:rsid w:val="00082E06"/>
    <w:rsid w:val="00083D8D"/>
    <w:rsid w:val="000907BD"/>
    <w:rsid w:val="00090E02"/>
    <w:rsid w:val="00091112"/>
    <w:rsid w:val="000928DD"/>
    <w:rsid w:val="000968AF"/>
    <w:rsid w:val="000974AC"/>
    <w:rsid w:val="000B5157"/>
    <w:rsid w:val="000B686E"/>
    <w:rsid w:val="000D187F"/>
    <w:rsid w:val="000D3B9A"/>
    <w:rsid w:val="000E0A3E"/>
    <w:rsid w:val="000E625C"/>
    <w:rsid w:val="000F38C2"/>
    <w:rsid w:val="000F506B"/>
    <w:rsid w:val="00102204"/>
    <w:rsid w:val="00103663"/>
    <w:rsid w:val="00104D67"/>
    <w:rsid w:val="001119C0"/>
    <w:rsid w:val="0011652B"/>
    <w:rsid w:val="00116D03"/>
    <w:rsid w:val="00121A7A"/>
    <w:rsid w:val="00124DB1"/>
    <w:rsid w:val="0012548C"/>
    <w:rsid w:val="001255BD"/>
    <w:rsid w:val="001370F5"/>
    <w:rsid w:val="00140919"/>
    <w:rsid w:val="00152186"/>
    <w:rsid w:val="00152351"/>
    <w:rsid w:val="00152E33"/>
    <w:rsid w:val="00152F75"/>
    <w:rsid w:val="00161C53"/>
    <w:rsid w:val="0016326E"/>
    <w:rsid w:val="001640BB"/>
    <w:rsid w:val="001722B3"/>
    <w:rsid w:val="00173B4F"/>
    <w:rsid w:val="001747EA"/>
    <w:rsid w:val="001755F3"/>
    <w:rsid w:val="00177309"/>
    <w:rsid w:val="00184CFE"/>
    <w:rsid w:val="001859CE"/>
    <w:rsid w:val="0018600F"/>
    <w:rsid w:val="00187048"/>
    <w:rsid w:val="00190066"/>
    <w:rsid w:val="001918EB"/>
    <w:rsid w:val="001951B4"/>
    <w:rsid w:val="001A3D19"/>
    <w:rsid w:val="001A6847"/>
    <w:rsid w:val="001B29EF"/>
    <w:rsid w:val="001B524E"/>
    <w:rsid w:val="001B6404"/>
    <w:rsid w:val="001B6E4F"/>
    <w:rsid w:val="001C2B40"/>
    <w:rsid w:val="001C3663"/>
    <w:rsid w:val="001C676C"/>
    <w:rsid w:val="001C6A8C"/>
    <w:rsid w:val="001D36E3"/>
    <w:rsid w:val="001D3997"/>
    <w:rsid w:val="001D4AA3"/>
    <w:rsid w:val="001D686E"/>
    <w:rsid w:val="001D75D0"/>
    <w:rsid w:val="001D7F4A"/>
    <w:rsid w:val="001E2DDD"/>
    <w:rsid w:val="001F0D6E"/>
    <w:rsid w:val="001F1163"/>
    <w:rsid w:val="001F22C7"/>
    <w:rsid w:val="001F649F"/>
    <w:rsid w:val="001F6877"/>
    <w:rsid w:val="002028E2"/>
    <w:rsid w:val="00204553"/>
    <w:rsid w:val="00204F98"/>
    <w:rsid w:val="002074B7"/>
    <w:rsid w:val="002129EE"/>
    <w:rsid w:val="00217C3F"/>
    <w:rsid w:val="00227FCC"/>
    <w:rsid w:val="002330AC"/>
    <w:rsid w:val="00235F2A"/>
    <w:rsid w:val="0024060B"/>
    <w:rsid w:val="00244AB2"/>
    <w:rsid w:val="00244E6E"/>
    <w:rsid w:val="00253279"/>
    <w:rsid w:val="00260055"/>
    <w:rsid w:val="002601D9"/>
    <w:rsid w:val="00260BA9"/>
    <w:rsid w:val="00266366"/>
    <w:rsid w:val="00267B08"/>
    <w:rsid w:val="00274092"/>
    <w:rsid w:val="00277C7C"/>
    <w:rsid w:val="00283966"/>
    <w:rsid w:val="00284C97"/>
    <w:rsid w:val="0029015B"/>
    <w:rsid w:val="00293610"/>
    <w:rsid w:val="002941B1"/>
    <w:rsid w:val="00294C22"/>
    <w:rsid w:val="0029728F"/>
    <w:rsid w:val="002A29BC"/>
    <w:rsid w:val="002A44B4"/>
    <w:rsid w:val="002A50F8"/>
    <w:rsid w:val="002B126D"/>
    <w:rsid w:val="002B18AE"/>
    <w:rsid w:val="002B5FE6"/>
    <w:rsid w:val="002C56F3"/>
    <w:rsid w:val="002C5A89"/>
    <w:rsid w:val="002E10A7"/>
    <w:rsid w:val="002E2B3C"/>
    <w:rsid w:val="002E4796"/>
    <w:rsid w:val="002F047E"/>
    <w:rsid w:val="002F354B"/>
    <w:rsid w:val="003044B9"/>
    <w:rsid w:val="0030577F"/>
    <w:rsid w:val="003110CC"/>
    <w:rsid w:val="00314ACD"/>
    <w:rsid w:val="00314F0F"/>
    <w:rsid w:val="003207DA"/>
    <w:rsid w:val="00326CD5"/>
    <w:rsid w:val="00330DD8"/>
    <w:rsid w:val="00331E36"/>
    <w:rsid w:val="003339B1"/>
    <w:rsid w:val="0033755B"/>
    <w:rsid w:val="0034299A"/>
    <w:rsid w:val="00346C8F"/>
    <w:rsid w:val="00346D22"/>
    <w:rsid w:val="003471C5"/>
    <w:rsid w:val="00352775"/>
    <w:rsid w:val="00354D4F"/>
    <w:rsid w:val="00362765"/>
    <w:rsid w:val="003673C8"/>
    <w:rsid w:val="00371EBD"/>
    <w:rsid w:val="00371FFE"/>
    <w:rsid w:val="00372C1E"/>
    <w:rsid w:val="003820B8"/>
    <w:rsid w:val="00384E65"/>
    <w:rsid w:val="0038699E"/>
    <w:rsid w:val="00390530"/>
    <w:rsid w:val="00397195"/>
    <w:rsid w:val="003A05C8"/>
    <w:rsid w:val="003B684C"/>
    <w:rsid w:val="003C3913"/>
    <w:rsid w:val="003E2355"/>
    <w:rsid w:val="003E2D23"/>
    <w:rsid w:val="003E5C0B"/>
    <w:rsid w:val="003E6EB8"/>
    <w:rsid w:val="003F04B5"/>
    <w:rsid w:val="003F19B0"/>
    <w:rsid w:val="003F1F7F"/>
    <w:rsid w:val="003F3764"/>
    <w:rsid w:val="003F5621"/>
    <w:rsid w:val="003F684B"/>
    <w:rsid w:val="00406293"/>
    <w:rsid w:val="00406E0F"/>
    <w:rsid w:val="0040726A"/>
    <w:rsid w:val="004161C6"/>
    <w:rsid w:val="00424889"/>
    <w:rsid w:val="0043006A"/>
    <w:rsid w:val="00440AAD"/>
    <w:rsid w:val="00442C89"/>
    <w:rsid w:val="0044608A"/>
    <w:rsid w:val="00446AA0"/>
    <w:rsid w:val="004504F4"/>
    <w:rsid w:val="004516BE"/>
    <w:rsid w:val="00451B3B"/>
    <w:rsid w:val="004620E8"/>
    <w:rsid w:val="004623C5"/>
    <w:rsid w:val="004636F2"/>
    <w:rsid w:val="00465F03"/>
    <w:rsid w:val="00481409"/>
    <w:rsid w:val="00487E8C"/>
    <w:rsid w:val="004A22E2"/>
    <w:rsid w:val="004A6738"/>
    <w:rsid w:val="004B10F5"/>
    <w:rsid w:val="004B3D7B"/>
    <w:rsid w:val="004C1473"/>
    <w:rsid w:val="004C4762"/>
    <w:rsid w:val="004C7202"/>
    <w:rsid w:val="004D2CB6"/>
    <w:rsid w:val="004D46D1"/>
    <w:rsid w:val="004D6606"/>
    <w:rsid w:val="004D6888"/>
    <w:rsid w:val="004D7428"/>
    <w:rsid w:val="004E0BE7"/>
    <w:rsid w:val="004E4EF4"/>
    <w:rsid w:val="004F0FCB"/>
    <w:rsid w:val="004F37B5"/>
    <w:rsid w:val="0050020B"/>
    <w:rsid w:val="005025BC"/>
    <w:rsid w:val="005058D7"/>
    <w:rsid w:val="00506441"/>
    <w:rsid w:val="00510397"/>
    <w:rsid w:val="00512C99"/>
    <w:rsid w:val="00512F1C"/>
    <w:rsid w:val="00513179"/>
    <w:rsid w:val="005137F9"/>
    <w:rsid w:val="005171E2"/>
    <w:rsid w:val="00523D1D"/>
    <w:rsid w:val="00524463"/>
    <w:rsid w:val="005267D5"/>
    <w:rsid w:val="00527305"/>
    <w:rsid w:val="005306F8"/>
    <w:rsid w:val="00532052"/>
    <w:rsid w:val="0053485B"/>
    <w:rsid w:val="0053723A"/>
    <w:rsid w:val="00543BBE"/>
    <w:rsid w:val="005466E7"/>
    <w:rsid w:val="00553C3A"/>
    <w:rsid w:val="00557089"/>
    <w:rsid w:val="00557D57"/>
    <w:rsid w:val="00562DEB"/>
    <w:rsid w:val="00582AEE"/>
    <w:rsid w:val="0058327A"/>
    <w:rsid w:val="00585991"/>
    <w:rsid w:val="005909E4"/>
    <w:rsid w:val="005920AF"/>
    <w:rsid w:val="00593284"/>
    <w:rsid w:val="005934B3"/>
    <w:rsid w:val="005950AE"/>
    <w:rsid w:val="005A59C5"/>
    <w:rsid w:val="005A790D"/>
    <w:rsid w:val="005B130B"/>
    <w:rsid w:val="005B2F2A"/>
    <w:rsid w:val="005B7DE7"/>
    <w:rsid w:val="005C20FC"/>
    <w:rsid w:val="005C429C"/>
    <w:rsid w:val="005C7E39"/>
    <w:rsid w:val="005D7462"/>
    <w:rsid w:val="005D7846"/>
    <w:rsid w:val="005E6A70"/>
    <w:rsid w:val="005E6C3C"/>
    <w:rsid w:val="005F09C9"/>
    <w:rsid w:val="005F525A"/>
    <w:rsid w:val="00602636"/>
    <w:rsid w:val="00617C9E"/>
    <w:rsid w:val="00624AF5"/>
    <w:rsid w:val="0063358E"/>
    <w:rsid w:val="0063434B"/>
    <w:rsid w:val="0064097A"/>
    <w:rsid w:val="00643FEC"/>
    <w:rsid w:val="0064694C"/>
    <w:rsid w:val="0064783A"/>
    <w:rsid w:val="00654178"/>
    <w:rsid w:val="00660159"/>
    <w:rsid w:val="006605A6"/>
    <w:rsid w:val="006637A2"/>
    <w:rsid w:val="006650DD"/>
    <w:rsid w:val="006658B2"/>
    <w:rsid w:val="00665B3B"/>
    <w:rsid w:val="00667453"/>
    <w:rsid w:val="00671C0F"/>
    <w:rsid w:val="00675906"/>
    <w:rsid w:val="00677E26"/>
    <w:rsid w:val="00695586"/>
    <w:rsid w:val="006A164F"/>
    <w:rsid w:val="006A210F"/>
    <w:rsid w:val="006A3C02"/>
    <w:rsid w:val="006B1A7F"/>
    <w:rsid w:val="006B4615"/>
    <w:rsid w:val="006C3664"/>
    <w:rsid w:val="006C4B0A"/>
    <w:rsid w:val="006D13C7"/>
    <w:rsid w:val="006D32A0"/>
    <w:rsid w:val="006D5C23"/>
    <w:rsid w:val="006D641F"/>
    <w:rsid w:val="006E0359"/>
    <w:rsid w:val="006E3C50"/>
    <w:rsid w:val="006E4B18"/>
    <w:rsid w:val="006F3687"/>
    <w:rsid w:val="00700447"/>
    <w:rsid w:val="00703ED5"/>
    <w:rsid w:val="00705E10"/>
    <w:rsid w:val="007118C3"/>
    <w:rsid w:val="007216E3"/>
    <w:rsid w:val="00721C0A"/>
    <w:rsid w:val="00724D16"/>
    <w:rsid w:val="007454D7"/>
    <w:rsid w:val="00745909"/>
    <w:rsid w:val="00747FDB"/>
    <w:rsid w:val="007554C1"/>
    <w:rsid w:val="00756A5A"/>
    <w:rsid w:val="007703FC"/>
    <w:rsid w:val="007778A3"/>
    <w:rsid w:val="0078087E"/>
    <w:rsid w:val="0078239F"/>
    <w:rsid w:val="007830E5"/>
    <w:rsid w:val="0078664C"/>
    <w:rsid w:val="007A667E"/>
    <w:rsid w:val="007A68B4"/>
    <w:rsid w:val="007B1A68"/>
    <w:rsid w:val="007B45C0"/>
    <w:rsid w:val="007C0C38"/>
    <w:rsid w:val="007C1A07"/>
    <w:rsid w:val="007C48D9"/>
    <w:rsid w:val="007D578F"/>
    <w:rsid w:val="007D6E9E"/>
    <w:rsid w:val="007E22A2"/>
    <w:rsid w:val="007E28C7"/>
    <w:rsid w:val="007E3D3D"/>
    <w:rsid w:val="007E4467"/>
    <w:rsid w:val="007E4C28"/>
    <w:rsid w:val="007F15E0"/>
    <w:rsid w:val="007F1F6A"/>
    <w:rsid w:val="007F7FE8"/>
    <w:rsid w:val="00801CD5"/>
    <w:rsid w:val="008040E2"/>
    <w:rsid w:val="00814DE2"/>
    <w:rsid w:val="00815637"/>
    <w:rsid w:val="00820C82"/>
    <w:rsid w:val="00831389"/>
    <w:rsid w:val="0083195E"/>
    <w:rsid w:val="0083335B"/>
    <w:rsid w:val="008350B5"/>
    <w:rsid w:val="00843E02"/>
    <w:rsid w:val="008442F3"/>
    <w:rsid w:val="0084451A"/>
    <w:rsid w:val="00846478"/>
    <w:rsid w:val="00846CB6"/>
    <w:rsid w:val="00853739"/>
    <w:rsid w:val="00854781"/>
    <w:rsid w:val="008657DA"/>
    <w:rsid w:val="00865E60"/>
    <w:rsid w:val="0086640D"/>
    <w:rsid w:val="00870C30"/>
    <w:rsid w:val="00872A6D"/>
    <w:rsid w:val="00877B62"/>
    <w:rsid w:val="008835CE"/>
    <w:rsid w:val="00885AC2"/>
    <w:rsid w:val="00894821"/>
    <w:rsid w:val="008A0379"/>
    <w:rsid w:val="008A09D5"/>
    <w:rsid w:val="008A7159"/>
    <w:rsid w:val="008A7540"/>
    <w:rsid w:val="008A7892"/>
    <w:rsid w:val="008D5C41"/>
    <w:rsid w:val="008D6FD5"/>
    <w:rsid w:val="008D77FE"/>
    <w:rsid w:val="008E4FC0"/>
    <w:rsid w:val="008F0F8A"/>
    <w:rsid w:val="008F1143"/>
    <w:rsid w:val="008F44E5"/>
    <w:rsid w:val="00902EB9"/>
    <w:rsid w:val="00903606"/>
    <w:rsid w:val="00916308"/>
    <w:rsid w:val="009239ED"/>
    <w:rsid w:val="009252C8"/>
    <w:rsid w:val="00925965"/>
    <w:rsid w:val="00927DA6"/>
    <w:rsid w:val="0093101C"/>
    <w:rsid w:val="00933CB9"/>
    <w:rsid w:val="009455C2"/>
    <w:rsid w:val="0094652E"/>
    <w:rsid w:val="00947E6A"/>
    <w:rsid w:val="009500E3"/>
    <w:rsid w:val="009619DB"/>
    <w:rsid w:val="00961B56"/>
    <w:rsid w:val="00962310"/>
    <w:rsid w:val="009642EB"/>
    <w:rsid w:val="00971A06"/>
    <w:rsid w:val="00976DCB"/>
    <w:rsid w:val="00980066"/>
    <w:rsid w:val="00981545"/>
    <w:rsid w:val="00995DBA"/>
    <w:rsid w:val="009A6595"/>
    <w:rsid w:val="009A7489"/>
    <w:rsid w:val="009B3D0C"/>
    <w:rsid w:val="009B4E33"/>
    <w:rsid w:val="009B6943"/>
    <w:rsid w:val="009B7007"/>
    <w:rsid w:val="009C0E36"/>
    <w:rsid w:val="009C57FA"/>
    <w:rsid w:val="009D6122"/>
    <w:rsid w:val="009D64AD"/>
    <w:rsid w:val="009E142B"/>
    <w:rsid w:val="009E1B3B"/>
    <w:rsid w:val="009E24AF"/>
    <w:rsid w:val="009E568E"/>
    <w:rsid w:val="009F08FD"/>
    <w:rsid w:val="009F1028"/>
    <w:rsid w:val="009F2639"/>
    <w:rsid w:val="00A009E7"/>
    <w:rsid w:val="00A01A36"/>
    <w:rsid w:val="00A0218A"/>
    <w:rsid w:val="00A02CC5"/>
    <w:rsid w:val="00A11652"/>
    <w:rsid w:val="00A12512"/>
    <w:rsid w:val="00A13DAE"/>
    <w:rsid w:val="00A209A3"/>
    <w:rsid w:val="00A263C4"/>
    <w:rsid w:val="00A400CA"/>
    <w:rsid w:val="00A4182F"/>
    <w:rsid w:val="00A4413B"/>
    <w:rsid w:val="00A4436E"/>
    <w:rsid w:val="00A447EA"/>
    <w:rsid w:val="00A45BE5"/>
    <w:rsid w:val="00A46AED"/>
    <w:rsid w:val="00A553F7"/>
    <w:rsid w:val="00A56FA5"/>
    <w:rsid w:val="00A61C92"/>
    <w:rsid w:val="00A660DF"/>
    <w:rsid w:val="00A74F90"/>
    <w:rsid w:val="00A77187"/>
    <w:rsid w:val="00A845B5"/>
    <w:rsid w:val="00A851AC"/>
    <w:rsid w:val="00A865A9"/>
    <w:rsid w:val="00AA0C33"/>
    <w:rsid w:val="00AA1892"/>
    <w:rsid w:val="00AA7E82"/>
    <w:rsid w:val="00AB5BB8"/>
    <w:rsid w:val="00AB7EE0"/>
    <w:rsid w:val="00AC37EC"/>
    <w:rsid w:val="00AC3F89"/>
    <w:rsid w:val="00AC4BB9"/>
    <w:rsid w:val="00AD535C"/>
    <w:rsid w:val="00AE252D"/>
    <w:rsid w:val="00AE320E"/>
    <w:rsid w:val="00AE4A80"/>
    <w:rsid w:val="00AE4F45"/>
    <w:rsid w:val="00AF2794"/>
    <w:rsid w:val="00AF50ED"/>
    <w:rsid w:val="00AF72FF"/>
    <w:rsid w:val="00AF7722"/>
    <w:rsid w:val="00AF7A9B"/>
    <w:rsid w:val="00B007E8"/>
    <w:rsid w:val="00B00FEB"/>
    <w:rsid w:val="00B06CE5"/>
    <w:rsid w:val="00B20F85"/>
    <w:rsid w:val="00B22564"/>
    <w:rsid w:val="00B24F06"/>
    <w:rsid w:val="00B26626"/>
    <w:rsid w:val="00B2762F"/>
    <w:rsid w:val="00B30061"/>
    <w:rsid w:val="00B329D3"/>
    <w:rsid w:val="00B453B4"/>
    <w:rsid w:val="00B54DF6"/>
    <w:rsid w:val="00B56091"/>
    <w:rsid w:val="00B6056C"/>
    <w:rsid w:val="00B6253F"/>
    <w:rsid w:val="00B70C29"/>
    <w:rsid w:val="00B72747"/>
    <w:rsid w:val="00B741FF"/>
    <w:rsid w:val="00B8175E"/>
    <w:rsid w:val="00B859FA"/>
    <w:rsid w:val="00B87718"/>
    <w:rsid w:val="00B914C8"/>
    <w:rsid w:val="00B93263"/>
    <w:rsid w:val="00B9403E"/>
    <w:rsid w:val="00B9708D"/>
    <w:rsid w:val="00BA44F4"/>
    <w:rsid w:val="00BA450A"/>
    <w:rsid w:val="00BA5075"/>
    <w:rsid w:val="00BA7CCA"/>
    <w:rsid w:val="00BB46CF"/>
    <w:rsid w:val="00BC51CF"/>
    <w:rsid w:val="00BC5419"/>
    <w:rsid w:val="00BC68AE"/>
    <w:rsid w:val="00BC7917"/>
    <w:rsid w:val="00BD2ABD"/>
    <w:rsid w:val="00BE05D1"/>
    <w:rsid w:val="00BE2597"/>
    <w:rsid w:val="00BE28C2"/>
    <w:rsid w:val="00BE7B94"/>
    <w:rsid w:val="00BF0E18"/>
    <w:rsid w:val="00C027BB"/>
    <w:rsid w:val="00C06E3C"/>
    <w:rsid w:val="00C14775"/>
    <w:rsid w:val="00C174AC"/>
    <w:rsid w:val="00C17B5A"/>
    <w:rsid w:val="00C23299"/>
    <w:rsid w:val="00C323FA"/>
    <w:rsid w:val="00C4237E"/>
    <w:rsid w:val="00C448CC"/>
    <w:rsid w:val="00C51522"/>
    <w:rsid w:val="00C51BCE"/>
    <w:rsid w:val="00C555DE"/>
    <w:rsid w:val="00C63FAE"/>
    <w:rsid w:val="00C6771F"/>
    <w:rsid w:val="00C73E86"/>
    <w:rsid w:val="00C771AB"/>
    <w:rsid w:val="00C83C67"/>
    <w:rsid w:val="00C93705"/>
    <w:rsid w:val="00C94ED9"/>
    <w:rsid w:val="00C96AC5"/>
    <w:rsid w:val="00CA3963"/>
    <w:rsid w:val="00CA4609"/>
    <w:rsid w:val="00CA7AFB"/>
    <w:rsid w:val="00CB239C"/>
    <w:rsid w:val="00CB3197"/>
    <w:rsid w:val="00CB3D60"/>
    <w:rsid w:val="00CB4342"/>
    <w:rsid w:val="00CB5F23"/>
    <w:rsid w:val="00CD01F4"/>
    <w:rsid w:val="00CD12B6"/>
    <w:rsid w:val="00CD1D05"/>
    <w:rsid w:val="00CD2EAC"/>
    <w:rsid w:val="00CD632B"/>
    <w:rsid w:val="00CD7131"/>
    <w:rsid w:val="00CE057D"/>
    <w:rsid w:val="00CE0FA5"/>
    <w:rsid w:val="00CE1800"/>
    <w:rsid w:val="00CE2000"/>
    <w:rsid w:val="00CE4090"/>
    <w:rsid w:val="00CF7BAD"/>
    <w:rsid w:val="00D00DD8"/>
    <w:rsid w:val="00D0151B"/>
    <w:rsid w:val="00D2423E"/>
    <w:rsid w:val="00D24BF9"/>
    <w:rsid w:val="00D262CA"/>
    <w:rsid w:val="00D343AB"/>
    <w:rsid w:val="00D425CA"/>
    <w:rsid w:val="00D559D7"/>
    <w:rsid w:val="00D578D3"/>
    <w:rsid w:val="00D57AA4"/>
    <w:rsid w:val="00D60A61"/>
    <w:rsid w:val="00D60A88"/>
    <w:rsid w:val="00D646B5"/>
    <w:rsid w:val="00D6662B"/>
    <w:rsid w:val="00D70CEE"/>
    <w:rsid w:val="00D71E7B"/>
    <w:rsid w:val="00D73387"/>
    <w:rsid w:val="00D73FBC"/>
    <w:rsid w:val="00D762D2"/>
    <w:rsid w:val="00D84667"/>
    <w:rsid w:val="00D84EC2"/>
    <w:rsid w:val="00D958B3"/>
    <w:rsid w:val="00D961F1"/>
    <w:rsid w:val="00DA6AE6"/>
    <w:rsid w:val="00DC0882"/>
    <w:rsid w:val="00DC2769"/>
    <w:rsid w:val="00DD04FE"/>
    <w:rsid w:val="00DD0736"/>
    <w:rsid w:val="00DD2116"/>
    <w:rsid w:val="00DD2530"/>
    <w:rsid w:val="00DD4C72"/>
    <w:rsid w:val="00DE43FB"/>
    <w:rsid w:val="00DE45EE"/>
    <w:rsid w:val="00DF55E2"/>
    <w:rsid w:val="00E00447"/>
    <w:rsid w:val="00E14E56"/>
    <w:rsid w:val="00E1665D"/>
    <w:rsid w:val="00E22909"/>
    <w:rsid w:val="00E2322F"/>
    <w:rsid w:val="00E275D6"/>
    <w:rsid w:val="00E279C7"/>
    <w:rsid w:val="00E30909"/>
    <w:rsid w:val="00E35F8E"/>
    <w:rsid w:val="00E4019E"/>
    <w:rsid w:val="00E44D20"/>
    <w:rsid w:val="00E4543A"/>
    <w:rsid w:val="00E50B2D"/>
    <w:rsid w:val="00E5431A"/>
    <w:rsid w:val="00E556B6"/>
    <w:rsid w:val="00E611AF"/>
    <w:rsid w:val="00E64AC4"/>
    <w:rsid w:val="00E65605"/>
    <w:rsid w:val="00E75977"/>
    <w:rsid w:val="00E80E0A"/>
    <w:rsid w:val="00E80EA7"/>
    <w:rsid w:val="00E81995"/>
    <w:rsid w:val="00E82F58"/>
    <w:rsid w:val="00E86612"/>
    <w:rsid w:val="00E911FD"/>
    <w:rsid w:val="00EA762E"/>
    <w:rsid w:val="00EB03F2"/>
    <w:rsid w:val="00EC12F5"/>
    <w:rsid w:val="00EC4FDE"/>
    <w:rsid w:val="00ED04C5"/>
    <w:rsid w:val="00ED1877"/>
    <w:rsid w:val="00ED364E"/>
    <w:rsid w:val="00ED3F4B"/>
    <w:rsid w:val="00ED42D8"/>
    <w:rsid w:val="00ED6B5D"/>
    <w:rsid w:val="00ED700C"/>
    <w:rsid w:val="00EE5EDA"/>
    <w:rsid w:val="00EE7AAA"/>
    <w:rsid w:val="00EF2210"/>
    <w:rsid w:val="00EF3948"/>
    <w:rsid w:val="00F056E1"/>
    <w:rsid w:val="00F1219A"/>
    <w:rsid w:val="00F16513"/>
    <w:rsid w:val="00F169F1"/>
    <w:rsid w:val="00F259FF"/>
    <w:rsid w:val="00F273C6"/>
    <w:rsid w:val="00F3215F"/>
    <w:rsid w:val="00F374CA"/>
    <w:rsid w:val="00F41B1B"/>
    <w:rsid w:val="00F44A48"/>
    <w:rsid w:val="00F46DAC"/>
    <w:rsid w:val="00F51866"/>
    <w:rsid w:val="00F52C4A"/>
    <w:rsid w:val="00F53F75"/>
    <w:rsid w:val="00F57A87"/>
    <w:rsid w:val="00F6608B"/>
    <w:rsid w:val="00F72D7D"/>
    <w:rsid w:val="00F83716"/>
    <w:rsid w:val="00F87683"/>
    <w:rsid w:val="00F910BC"/>
    <w:rsid w:val="00F92680"/>
    <w:rsid w:val="00F93102"/>
    <w:rsid w:val="00F95D7E"/>
    <w:rsid w:val="00F95E69"/>
    <w:rsid w:val="00F97144"/>
    <w:rsid w:val="00FA05C7"/>
    <w:rsid w:val="00FA0709"/>
    <w:rsid w:val="00FA12C2"/>
    <w:rsid w:val="00FA2D76"/>
    <w:rsid w:val="00FC10D1"/>
    <w:rsid w:val="00FC2095"/>
    <w:rsid w:val="00FC29AF"/>
    <w:rsid w:val="00FC356F"/>
    <w:rsid w:val="00FC3F41"/>
    <w:rsid w:val="00FC5756"/>
    <w:rsid w:val="00FD0DF4"/>
    <w:rsid w:val="00FD1223"/>
    <w:rsid w:val="00FD1F40"/>
    <w:rsid w:val="00FD45FE"/>
    <w:rsid w:val="00FD7EE1"/>
    <w:rsid w:val="00FE40EC"/>
    <w:rsid w:val="00FE485C"/>
    <w:rsid w:val="00FE5FA0"/>
    <w:rsid w:val="00FF6592"/>
    <w:rsid w:val="083F1968"/>
    <w:rsid w:val="106A78CC"/>
    <w:rsid w:val="11125C13"/>
    <w:rsid w:val="13BA0985"/>
    <w:rsid w:val="14AD7EF7"/>
    <w:rsid w:val="181E2B32"/>
    <w:rsid w:val="1D9340E4"/>
    <w:rsid w:val="251B64F3"/>
    <w:rsid w:val="293A7922"/>
    <w:rsid w:val="2A62796F"/>
    <w:rsid w:val="2D375260"/>
    <w:rsid w:val="2F202813"/>
    <w:rsid w:val="314B29C9"/>
    <w:rsid w:val="33D230FF"/>
    <w:rsid w:val="37163058"/>
    <w:rsid w:val="40DC3DD2"/>
    <w:rsid w:val="434C4C77"/>
    <w:rsid w:val="488119E7"/>
    <w:rsid w:val="4D986EDD"/>
    <w:rsid w:val="56126536"/>
    <w:rsid w:val="65124EB9"/>
    <w:rsid w:val="6A0E009F"/>
    <w:rsid w:val="6D332C90"/>
    <w:rsid w:val="755924A2"/>
    <w:rsid w:val="772B60D2"/>
    <w:rsid w:val="77CB7B8C"/>
    <w:rsid w:val="7D2E32CC"/>
    <w:rsid w:val="7D2F0153"/>
    <w:rsid w:val="7E01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nhideWhenUsed="0" w:uiPriority="99" w:semiHidden="0" w:name="toc 8"/>
    <w:lsdException w:qFormat="1" w:unhideWhenUsed="0" w:uiPriority="99" w:semiHidden="0" w:name="toc 9"/>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35"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0" w:semiHidden="0" w:name="Body Text" w:locked="1"/>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5" w:lineRule="auto"/>
      <w:outlineLvl w:val="1"/>
    </w:pPr>
    <w:rPr>
      <w:rFonts w:ascii="Cambria" w:hAnsi="Cambria"/>
      <w:b/>
      <w:bCs/>
      <w:kern w:val="0"/>
      <w:sz w:val="32"/>
      <w:szCs w:val="32"/>
    </w:rPr>
  </w:style>
  <w:style w:type="paragraph" w:styleId="4">
    <w:name w:val="heading 3"/>
    <w:basedOn w:val="1"/>
    <w:next w:val="1"/>
    <w:link w:val="41"/>
    <w:qFormat/>
    <w:uiPriority w:val="99"/>
    <w:pPr>
      <w:keepNext/>
      <w:keepLines/>
      <w:spacing w:before="260" w:after="260" w:line="415" w:lineRule="auto"/>
      <w:outlineLvl w:val="2"/>
    </w:pPr>
    <w:rPr>
      <w:b/>
      <w:bCs/>
      <w:kern w:val="0"/>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mbria" w:hAnsi="Cambria"/>
      <w:szCs w:val="22"/>
    </w:rPr>
  </w:style>
  <w:style w:type="paragraph" w:styleId="6">
    <w:name w:val="Normal Indent"/>
    <w:basedOn w:val="1"/>
    <w:link w:val="39"/>
    <w:qFormat/>
    <w:uiPriority w:val="0"/>
    <w:pPr>
      <w:ind w:firstLine="200" w:firstLineChars="200"/>
    </w:pPr>
  </w:style>
  <w:style w:type="paragraph" w:styleId="7">
    <w:name w:val="caption"/>
    <w:basedOn w:val="1"/>
    <w:next w:val="1"/>
    <w:link w:val="36"/>
    <w:qFormat/>
    <w:uiPriority w:val="35"/>
    <w:pPr>
      <w:numPr>
        <w:ilvl w:val="0"/>
        <w:numId w:val="1"/>
      </w:numPr>
      <w:spacing w:line="360" w:lineRule="auto"/>
      <w:ind w:left="0" w:firstLine="0"/>
      <w:jc w:val="center"/>
    </w:pPr>
    <w:rPr>
      <w:rFonts w:ascii="Arial Unicode MS" w:hAnsi="Arial Unicode MS"/>
      <w:szCs w:val="20"/>
    </w:rPr>
  </w:style>
  <w:style w:type="paragraph" w:styleId="8">
    <w:name w:val="Body Text"/>
    <w:basedOn w:val="1"/>
    <w:link w:val="46"/>
    <w:unhideWhenUsed/>
    <w:qFormat/>
    <w:locked/>
    <w:uiPriority w:val="0"/>
    <w:pPr>
      <w:spacing w:after="120"/>
    </w:pPr>
  </w:style>
  <w:style w:type="paragraph" w:styleId="9">
    <w:name w:val="Body Text Indent"/>
    <w:basedOn w:val="1"/>
    <w:link w:val="37"/>
    <w:qFormat/>
    <w:uiPriority w:val="0"/>
    <w:pPr>
      <w:ind w:firstLine="630"/>
    </w:pPr>
    <w:rPr>
      <w:kern w:val="0"/>
      <w:sz w:val="24"/>
    </w:rPr>
  </w:style>
  <w:style w:type="paragraph" w:styleId="10">
    <w:name w:val="toc 5"/>
    <w:basedOn w:val="1"/>
    <w:next w:val="1"/>
    <w:qFormat/>
    <w:uiPriority w:val="99"/>
    <w:pPr>
      <w:ind w:left="1680" w:leftChars="800"/>
    </w:pPr>
    <w:rPr>
      <w:rFonts w:ascii="Cambria" w:hAnsi="Cambria"/>
      <w:szCs w:val="22"/>
    </w:rPr>
  </w:style>
  <w:style w:type="paragraph" w:styleId="11">
    <w:name w:val="toc 3"/>
    <w:basedOn w:val="1"/>
    <w:next w:val="1"/>
    <w:qFormat/>
    <w:uiPriority w:val="99"/>
    <w:pPr>
      <w:ind w:left="840" w:leftChars="400"/>
    </w:pPr>
  </w:style>
  <w:style w:type="paragraph" w:styleId="12">
    <w:name w:val="toc 8"/>
    <w:basedOn w:val="1"/>
    <w:next w:val="1"/>
    <w:uiPriority w:val="99"/>
    <w:pPr>
      <w:ind w:left="2940" w:leftChars="1400"/>
    </w:pPr>
    <w:rPr>
      <w:rFonts w:ascii="Cambria" w:hAnsi="Cambria"/>
      <w:szCs w:val="22"/>
    </w:rPr>
  </w:style>
  <w:style w:type="paragraph" w:styleId="13">
    <w:name w:val="Body Text Indent 2"/>
    <w:basedOn w:val="1"/>
    <w:link w:val="71"/>
    <w:qFormat/>
    <w:locked/>
    <w:uiPriority w:val="0"/>
    <w:pPr>
      <w:spacing w:after="120" w:line="480" w:lineRule="auto"/>
      <w:ind w:left="420" w:leftChars="200"/>
    </w:pPr>
  </w:style>
  <w:style w:type="paragraph" w:styleId="14">
    <w:name w:val="Balloon Text"/>
    <w:basedOn w:val="1"/>
    <w:link w:val="38"/>
    <w:unhideWhenUsed/>
    <w:qFormat/>
    <w:locked/>
    <w:uiPriority w:val="99"/>
    <w:rPr>
      <w:sz w:val="18"/>
      <w:szCs w:val="18"/>
    </w:rPr>
  </w:style>
  <w:style w:type="paragraph" w:styleId="15">
    <w:name w:val="footer"/>
    <w:basedOn w:val="1"/>
    <w:link w:val="40"/>
    <w:qFormat/>
    <w:uiPriority w:val="99"/>
    <w:pPr>
      <w:tabs>
        <w:tab w:val="center" w:pos="4153"/>
        <w:tab w:val="right" w:pos="8306"/>
      </w:tabs>
      <w:snapToGrid w:val="0"/>
      <w:jc w:val="left"/>
    </w:pPr>
    <w:rPr>
      <w:kern w:val="0"/>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style>
  <w:style w:type="paragraph" w:styleId="18">
    <w:name w:val="toc 4"/>
    <w:basedOn w:val="1"/>
    <w:next w:val="1"/>
    <w:qFormat/>
    <w:uiPriority w:val="99"/>
    <w:pPr>
      <w:ind w:left="1260" w:leftChars="600"/>
    </w:pPr>
    <w:rPr>
      <w:rFonts w:ascii="Cambria" w:hAnsi="Cambria"/>
      <w:szCs w:val="22"/>
    </w:rPr>
  </w:style>
  <w:style w:type="paragraph" w:styleId="19">
    <w:name w:val="toc 6"/>
    <w:basedOn w:val="1"/>
    <w:next w:val="1"/>
    <w:qFormat/>
    <w:uiPriority w:val="99"/>
    <w:pPr>
      <w:ind w:left="2100" w:leftChars="1000"/>
    </w:pPr>
    <w:rPr>
      <w:rFonts w:ascii="Cambria" w:hAnsi="Cambria"/>
      <w:szCs w:val="22"/>
    </w:rPr>
  </w:style>
  <w:style w:type="paragraph" w:styleId="20">
    <w:name w:val="toc 2"/>
    <w:basedOn w:val="1"/>
    <w:next w:val="1"/>
    <w:qFormat/>
    <w:uiPriority w:val="39"/>
    <w:pPr>
      <w:ind w:left="420" w:leftChars="200"/>
    </w:pPr>
  </w:style>
  <w:style w:type="paragraph" w:styleId="21">
    <w:name w:val="toc 9"/>
    <w:basedOn w:val="1"/>
    <w:next w:val="1"/>
    <w:qFormat/>
    <w:uiPriority w:val="99"/>
    <w:pPr>
      <w:ind w:left="3360" w:leftChars="1600"/>
    </w:pPr>
    <w:rPr>
      <w:rFonts w:ascii="Cambria" w:hAnsi="Cambria"/>
      <w:szCs w:val="22"/>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23">
    <w:name w:val="Normal (Web)"/>
    <w:basedOn w:val="1"/>
    <w:qFormat/>
    <w:uiPriority w:val="99"/>
    <w:pPr>
      <w:widowControl/>
      <w:spacing w:before="100" w:beforeAutospacing="1" w:after="100" w:afterAutospacing="1"/>
      <w:jc w:val="left"/>
    </w:pPr>
    <w:rPr>
      <w:rFonts w:ascii="宋体"/>
      <w:kern w:val="0"/>
      <w:sz w:val="18"/>
      <w:szCs w:val="18"/>
    </w:rPr>
  </w:style>
  <w:style w:type="table" w:styleId="25">
    <w:name w:val="Table Grid"/>
    <w:basedOn w:val="24"/>
    <w:unhideWhenUsed/>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99"/>
    <w:rPr>
      <w:rFonts w:cs="Times New Roman"/>
      <w:b/>
    </w:rPr>
  </w:style>
  <w:style w:type="character" w:styleId="28">
    <w:name w:val="page number"/>
    <w:qFormat/>
    <w:uiPriority w:val="0"/>
    <w:rPr>
      <w:rFonts w:cs="Times New Roman"/>
    </w:rPr>
  </w:style>
  <w:style w:type="character" w:styleId="29">
    <w:name w:val="Emphasis"/>
    <w:qFormat/>
    <w:uiPriority w:val="99"/>
    <w:rPr>
      <w:rFonts w:cs="Times New Roman"/>
    </w:rPr>
  </w:style>
  <w:style w:type="character" w:styleId="30">
    <w:name w:val="HTML Definition"/>
    <w:qFormat/>
    <w:uiPriority w:val="99"/>
    <w:rPr>
      <w:rFonts w:cs="Times New Roman"/>
    </w:rPr>
  </w:style>
  <w:style w:type="character" w:styleId="31">
    <w:name w:val="HTML Variable"/>
    <w:qFormat/>
    <w:uiPriority w:val="99"/>
    <w:rPr>
      <w:rFonts w:cs="Times New Roman"/>
    </w:rPr>
  </w:style>
  <w:style w:type="character" w:styleId="32">
    <w:name w:val="Hyperlink"/>
    <w:qFormat/>
    <w:uiPriority w:val="99"/>
    <w:rPr>
      <w:rFonts w:cs="Times New Roman"/>
      <w:color w:val="333333"/>
      <w:u w:val="none"/>
    </w:rPr>
  </w:style>
  <w:style w:type="character" w:styleId="33">
    <w:name w:val="HTML Code"/>
    <w:qFormat/>
    <w:uiPriority w:val="99"/>
    <w:rPr>
      <w:rFonts w:ascii="Courier New" w:hAnsi="Courier New" w:cs="Times New Roman"/>
      <w:sz w:val="20"/>
    </w:rPr>
  </w:style>
  <w:style w:type="character" w:styleId="34">
    <w:name w:val="HTML Cite"/>
    <w:qFormat/>
    <w:uiPriority w:val="99"/>
    <w:rPr>
      <w:rFonts w:cs="Times New Roman"/>
    </w:rPr>
  </w:style>
  <w:style w:type="character" w:customStyle="1" w:styleId="35">
    <w:name w:val="页眉 Char"/>
    <w:link w:val="16"/>
    <w:locked/>
    <w:uiPriority w:val="99"/>
    <w:rPr>
      <w:rFonts w:cs="Times New Roman"/>
      <w:sz w:val="18"/>
      <w:szCs w:val="18"/>
    </w:rPr>
  </w:style>
  <w:style w:type="character" w:customStyle="1" w:styleId="36">
    <w:name w:val="题注 Char"/>
    <w:link w:val="7"/>
    <w:qFormat/>
    <w:locked/>
    <w:uiPriority w:val="35"/>
    <w:rPr>
      <w:rFonts w:ascii="Arial Unicode MS" w:hAnsi="Arial Unicode MS" w:cs="宋体"/>
      <w:kern w:val="2"/>
      <w:sz w:val="21"/>
    </w:rPr>
  </w:style>
  <w:style w:type="character" w:customStyle="1" w:styleId="37">
    <w:name w:val="正文文本缩进 Char"/>
    <w:link w:val="9"/>
    <w:qFormat/>
    <w:locked/>
    <w:uiPriority w:val="0"/>
    <w:rPr>
      <w:rFonts w:cs="Times New Roman"/>
      <w:sz w:val="24"/>
      <w:szCs w:val="24"/>
    </w:rPr>
  </w:style>
  <w:style w:type="character" w:customStyle="1" w:styleId="38">
    <w:name w:val="批注框文本 Char"/>
    <w:link w:val="14"/>
    <w:semiHidden/>
    <w:uiPriority w:val="99"/>
    <w:rPr>
      <w:kern w:val="2"/>
      <w:sz w:val="18"/>
      <w:szCs w:val="18"/>
    </w:rPr>
  </w:style>
  <w:style w:type="character" w:customStyle="1" w:styleId="39">
    <w:name w:val="正文缩进 Char"/>
    <w:link w:val="6"/>
    <w:qFormat/>
    <w:locked/>
    <w:uiPriority w:val="99"/>
    <w:rPr>
      <w:kern w:val="2"/>
      <w:sz w:val="21"/>
      <w:szCs w:val="24"/>
    </w:rPr>
  </w:style>
  <w:style w:type="character" w:customStyle="1" w:styleId="40">
    <w:name w:val="页脚 Char"/>
    <w:link w:val="15"/>
    <w:qFormat/>
    <w:locked/>
    <w:uiPriority w:val="99"/>
    <w:rPr>
      <w:rFonts w:cs="Times New Roman"/>
      <w:sz w:val="18"/>
      <w:szCs w:val="18"/>
    </w:rPr>
  </w:style>
  <w:style w:type="character" w:customStyle="1" w:styleId="41">
    <w:name w:val="标题 3 Char"/>
    <w:link w:val="4"/>
    <w:semiHidden/>
    <w:qFormat/>
    <w:locked/>
    <w:uiPriority w:val="99"/>
    <w:rPr>
      <w:rFonts w:cs="Times New Roman"/>
      <w:b/>
      <w:bCs/>
      <w:sz w:val="32"/>
      <w:szCs w:val="32"/>
    </w:rPr>
  </w:style>
  <w:style w:type="character" w:customStyle="1" w:styleId="42">
    <w:name w:val="HTML 预设格式 Char"/>
    <w:link w:val="22"/>
    <w:qFormat/>
    <w:locked/>
    <w:uiPriority w:val="99"/>
    <w:rPr>
      <w:rFonts w:ascii="宋体" w:eastAsia="宋体" w:cs="Times New Roman"/>
      <w:sz w:val="24"/>
    </w:rPr>
  </w:style>
  <w:style w:type="character" w:customStyle="1" w:styleId="43">
    <w:name w:val="t101"/>
    <w:qFormat/>
    <w:uiPriority w:val="99"/>
    <w:rPr>
      <w:sz w:val="20"/>
    </w:rPr>
  </w:style>
  <w:style w:type="character" w:customStyle="1" w:styleId="44">
    <w:name w:val="标题 2 Char"/>
    <w:link w:val="3"/>
    <w:qFormat/>
    <w:locked/>
    <w:uiPriority w:val="0"/>
    <w:rPr>
      <w:rFonts w:ascii="Cambria" w:hAnsi="Cambria" w:eastAsia="宋体" w:cs="Times New Roman"/>
      <w:b/>
      <w:bCs/>
      <w:sz w:val="32"/>
      <w:szCs w:val="32"/>
    </w:rPr>
  </w:style>
  <w:style w:type="character" w:customStyle="1" w:styleId="45">
    <w:name w:val="访问过的超链接"/>
    <w:uiPriority w:val="99"/>
    <w:rPr>
      <w:rFonts w:cs="Times New Roman"/>
      <w:color w:val="333333"/>
      <w:u w:val="none"/>
    </w:rPr>
  </w:style>
  <w:style w:type="character" w:customStyle="1" w:styleId="46">
    <w:name w:val="正文文本 Char"/>
    <w:link w:val="8"/>
    <w:qFormat/>
    <w:uiPriority w:val="0"/>
    <w:rPr>
      <w:kern w:val="2"/>
      <w:sz w:val="21"/>
      <w:szCs w:val="24"/>
    </w:rPr>
  </w:style>
  <w:style w:type="character" w:customStyle="1" w:styleId="47">
    <w:name w:val="label"/>
    <w:qFormat/>
    <w:uiPriority w:val="99"/>
    <w:rPr>
      <w:rFonts w:cs="Times New Roman"/>
      <w:color w:val="555555"/>
    </w:rPr>
  </w:style>
  <w:style w:type="character" w:customStyle="1" w:styleId="48">
    <w:name w:val="标题 1 Char"/>
    <w:link w:val="2"/>
    <w:qFormat/>
    <w:locked/>
    <w:uiPriority w:val="0"/>
    <w:rPr>
      <w:rFonts w:cs="Times New Roman"/>
      <w:b/>
      <w:bCs/>
      <w:kern w:val="44"/>
      <w:sz w:val="44"/>
      <w:szCs w:val="44"/>
    </w:rPr>
  </w:style>
  <w:style w:type="character" w:customStyle="1" w:styleId="49">
    <w:name w:val="modifier"/>
    <w:qFormat/>
    <w:uiPriority w:val="99"/>
    <w:rPr>
      <w:rFonts w:cs="Times New Roman"/>
      <w:color w:val="FF0000"/>
    </w:rPr>
  </w:style>
  <w:style w:type="paragraph" w:customStyle="1" w:styleId="50">
    <w:name w:val="_正文段落"/>
    <w:basedOn w:val="1"/>
    <w:qFormat/>
    <w:uiPriority w:val="99"/>
    <w:pPr>
      <w:spacing w:beforeLines="15" w:afterLines="15" w:line="360" w:lineRule="auto"/>
      <w:ind w:firstLine="200" w:firstLineChars="200"/>
    </w:pPr>
    <w:rPr>
      <w:rFonts w:ascii="宋体" w:eastAsia="仿宋_GB2312"/>
      <w:kern w:val="0"/>
      <w:sz w:val="28"/>
    </w:rPr>
  </w:style>
  <w:style w:type="paragraph" w:customStyle="1" w:styleId="5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52">
    <w:name w:val="列出段落1"/>
    <w:basedOn w:val="1"/>
    <w:qFormat/>
    <w:uiPriority w:val="0"/>
    <w:pPr>
      <w:spacing w:line="600" w:lineRule="exact"/>
      <w:ind w:firstLine="420" w:firstLineChars="200"/>
    </w:pPr>
    <w:rPr>
      <w:rFonts w:eastAsia="方正仿宋简体"/>
      <w:sz w:val="32"/>
    </w:rPr>
  </w:style>
  <w:style w:type="paragraph" w:customStyle="1" w:styleId="53">
    <w:name w:val="p0"/>
    <w:basedOn w:val="1"/>
    <w:qFormat/>
    <w:uiPriority w:val="0"/>
    <w:pPr>
      <w:widowControl/>
    </w:pPr>
    <w:rPr>
      <w:rFonts w:ascii="宋体"/>
      <w:kern w:val="0"/>
      <w:sz w:val="34"/>
      <w:szCs w:val="21"/>
    </w:rPr>
  </w:style>
  <w:style w:type="paragraph" w:styleId="54">
    <w:name w:val="List Paragraph"/>
    <w:basedOn w:val="1"/>
    <w:qFormat/>
    <w:uiPriority w:val="34"/>
    <w:pPr>
      <w:ind w:firstLine="420" w:firstLineChars="200"/>
    </w:pPr>
    <w:rPr>
      <w:rFonts w:ascii="Calibri" w:hAnsi="Calibri"/>
      <w:szCs w:val="22"/>
    </w:rPr>
  </w:style>
  <w:style w:type="paragraph" w:customStyle="1" w:styleId="5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列出段落11"/>
    <w:basedOn w:val="1"/>
    <w:qFormat/>
    <w:uiPriority w:val="99"/>
    <w:pPr>
      <w:ind w:firstLine="420" w:firstLineChars="200"/>
    </w:pPr>
    <w:rPr>
      <w:rFonts w:ascii="Calibri" w:hAnsi="Calibri"/>
      <w:szCs w:val="22"/>
    </w:rPr>
  </w:style>
  <w:style w:type="paragraph" w:customStyle="1" w:styleId="57">
    <w:name w:val="正文首行缩进两字符"/>
    <w:basedOn w:val="1"/>
    <w:uiPriority w:val="0"/>
    <w:pPr>
      <w:spacing w:line="360" w:lineRule="auto"/>
      <w:ind w:firstLine="200" w:firstLineChars="200"/>
    </w:pPr>
  </w:style>
  <w:style w:type="paragraph" w:customStyle="1" w:styleId="58">
    <w:name w:val="样式 首行缩进:  2 字符"/>
    <w:basedOn w:val="1"/>
    <w:qFormat/>
    <w:uiPriority w:val="99"/>
    <w:pPr>
      <w:spacing w:line="400" w:lineRule="exact"/>
      <w:ind w:firstLine="200" w:firstLineChars="200"/>
    </w:pPr>
    <w:rPr>
      <w:rFonts w:cs="宋体"/>
      <w:sz w:val="24"/>
    </w:rPr>
  </w:style>
  <w:style w:type="paragraph" w:customStyle="1" w:styleId="59">
    <w:name w:val="List Paragraph1"/>
    <w:basedOn w:val="1"/>
    <w:qFormat/>
    <w:uiPriority w:val="99"/>
    <w:pPr>
      <w:ind w:firstLine="420" w:firstLineChars="200"/>
    </w:pPr>
    <w:rPr>
      <w:rFonts w:ascii="Calibri" w:hAnsi="Calibri"/>
      <w:szCs w:val="22"/>
    </w:rPr>
  </w:style>
  <w:style w:type="paragraph" w:customStyle="1" w:styleId="60">
    <w:name w:val="文档正文"/>
    <w:basedOn w:val="1"/>
    <w:qFormat/>
    <w:uiPriority w:val="0"/>
    <w:pPr>
      <w:adjustRightInd w:val="0"/>
      <w:spacing w:line="480" w:lineRule="atLeast"/>
      <w:ind w:firstLine="567"/>
      <w:textAlignment w:val="baseline"/>
    </w:pPr>
    <w:rPr>
      <w:rFonts w:ascii="长城仿宋"/>
      <w:sz w:val="24"/>
    </w:rPr>
  </w:style>
  <w:style w:type="paragraph" w:customStyle="1" w:styleId="61">
    <w:name w:val="p15"/>
    <w:basedOn w:val="1"/>
    <w:qFormat/>
    <w:uiPriority w:val="99"/>
    <w:pPr>
      <w:widowControl/>
      <w:snapToGrid w:val="0"/>
      <w:jc w:val="left"/>
    </w:pPr>
    <w:rPr>
      <w:rFonts w:ascii="宋体" w:hAnsi="宋体" w:cs="宋体"/>
      <w:kern w:val="0"/>
      <w:sz w:val="24"/>
      <w:szCs w:val="20"/>
    </w:rPr>
  </w:style>
  <w:style w:type="paragraph" w:customStyle="1" w:styleId="62">
    <w:name w:val="正常1"/>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4">
    <w:name w:val="正文缩进 Char1"/>
    <w:qFormat/>
    <w:locked/>
    <w:uiPriority w:val="0"/>
    <w:rPr>
      <w:rFonts w:eastAsia="宋体"/>
      <w:kern w:val="2"/>
      <w:sz w:val="21"/>
      <w:szCs w:val="24"/>
      <w:lang w:val="en-US" w:eastAsia="zh-CN" w:bidi="ar-SA"/>
    </w:rPr>
  </w:style>
  <w:style w:type="character" w:customStyle="1" w:styleId="65">
    <w:name w:val="apple-converted-space"/>
    <w:qFormat/>
    <w:uiPriority w:val="0"/>
    <w:rPr>
      <w:rFonts w:cs="Times New Roman"/>
    </w:rPr>
  </w:style>
  <w:style w:type="paragraph" w:customStyle="1" w:styleId="66">
    <w:name w:val="Char1"/>
    <w:basedOn w:val="1"/>
    <w:qFormat/>
    <w:uiPriority w:val="0"/>
    <w:rPr>
      <w:szCs w:val="21"/>
    </w:rPr>
  </w:style>
  <w:style w:type="paragraph" w:styleId="6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Char Char Char Char Char Char Char Char Char Char Char Char Char"/>
    <w:basedOn w:val="1"/>
    <w:qFormat/>
    <w:uiPriority w:val="0"/>
    <w:rPr>
      <w:rFonts w:ascii="宋体"/>
      <w:kern w:val="0"/>
      <w:sz w:val="34"/>
      <w:szCs w:val="20"/>
    </w:rPr>
  </w:style>
  <w:style w:type="paragraph" w:customStyle="1" w:styleId="6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0">
    <w:name w:val="正文文本 21"/>
    <w:basedOn w:val="1"/>
    <w:qFormat/>
    <w:uiPriority w:val="0"/>
    <w:pPr>
      <w:autoSpaceDE w:val="0"/>
      <w:autoSpaceDN w:val="0"/>
      <w:adjustRightInd w:val="0"/>
      <w:spacing w:line="380" w:lineRule="atLeast"/>
      <w:textAlignment w:val="baseline"/>
    </w:pPr>
    <w:rPr>
      <w:rFonts w:ascii="Calibri" w:hAnsi="Calibri"/>
      <w:spacing w:val="10"/>
      <w:kern w:val="0"/>
      <w:sz w:val="24"/>
      <w:szCs w:val="20"/>
    </w:rPr>
  </w:style>
  <w:style w:type="character" w:customStyle="1" w:styleId="71">
    <w:name w:val="正文文本缩进 2 Char"/>
    <w:basedOn w:val="26"/>
    <w:link w:val="1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D748D-F35C-4A2F-9FBD-F70E9C592EF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82</Pages>
  <Words>8830</Words>
  <Characters>50334</Characters>
  <Lines>419</Lines>
  <Paragraphs>118</Paragraphs>
  <TotalTime>38</TotalTime>
  <ScaleCrop>false</ScaleCrop>
  <LinksUpToDate>false</LinksUpToDate>
  <CharactersWithSpaces>59046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2020-12-15T08:35:00Z</dcterms:created>
  <dc:creator>s</dc:creator>
  <cp:lastModifiedBy>解黎</cp:lastModifiedBy>
  <cp:lastPrinted>2018-07-10T03:04:00Z</cp:lastPrinted>
  <dcterms:modified xsi:type="dcterms:W3CDTF">2020-12-16T09:02:43Z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