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C92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Microsoft YaHei UI" w:hAnsi="Microsoft YaHei UI" w:eastAsia="Microsoft YaHei UI" w:cs="Microsoft YaHei UI"/>
          <w:i w:val="0"/>
          <w:iCs w:val="0"/>
          <w:caps w:val="0"/>
          <w:spacing w:val="8"/>
          <w:kern w:val="0"/>
          <w:sz w:val="32"/>
          <w:szCs w:val="32"/>
          <w:shd w:val="clear" w:fill="FFFFFF"/>
          <w:lang w:val="en-US" w:eastAsia="zh-CN" w:bidi="ar"/>
        </w:rPr>
      </w:pPr>
      <w:bookmarkStart w:id="0" w:name="_GoBack"/>
      <w:r>
        <w:rPr>
          <w:rStyle w:val="6"/>
          <w:rFonts w:hint="eastAsia" w:ascii="Microsoft YaHei UI" w:hAnsi="Microsoft YaHei UI" w:eastAsia="Microsoft YaHei UI" w:cs="Microsoft YaHei UI"/>
          <w:i w:val="0"/>
          <w:iCs w:val="0"/>
          <w:caps w:val="0"/>
          <w:spacing w:val="8"/>
          <w:kern w:val="0"/>
          <w:sz w:val="32"/>
          <w:szCs w:val="32"/>
          <w:shd w:val="clear" w:fill="FFFFFF"/>
          <w:lang w:val="en-US" w:eastAsia="zh-CN" w:bidi="ar"/>
        </w:rPr>
        <w:t>配电设备预试服务</w:t>
      </w:r>
      <w:bookmarkEnd w:id="0"/>
      <w:r>
        <w:rPr>
          <w:rStyle w:val="6"/>
          <w:rFonts w:hint="eastAsia" w:ascii="Microsoft YaHei UI" w:hAnsi="Microsoft YaHei UI" w:eastAsia="Microsoft YaHei UI" w:cs="Microsoft YaHei UI"/>
          <w:i w:val="0"/>
          <w:iCs w:val="0"/>
          <w:caps w:val="0"/>
          <w:spacing w:val="8"/>
          <w:kern w:val="0"/>
          <w:sz w:val="32"/>
          <w:szCs w:val="32"/>
          <w:shd w:val="clear" w:fill="FFFFFF"/>
          <w:lang w:val="en-US" w:eastAsia="zh-CN" w:bidi="ar"/>
        </w:rPr>
        <w:t>采购需求</w:t>
      </w:r>
    </w:p>
    <w:p w14:paraId="5FDCA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kern w:val="0"/>
          <w:sz w:val="22"/>
          <w:szCs w:val="22"/>
          <w:shd w:val="clear" w:fill="FFFFFF"/>
          <w:lang w:val="en-US" w:eastAsia="zh-CN" w:bidi="ar"/>
        </w:rPr>
        <w:t>一、项目概况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066"/>
        <w:gridCol w:w="1420"/>
        <w:gridCol w:w="1420"/>
        <w:gridCol w:w="1420"/>
        <w:gridCol w:w="1420"/>
      </w:tblGrid>
      <w:tr w14:paraId="78E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63BDFB9A">
            <w:pPr>
              <w:jc w:val="center"/>
              <w:rPr>
                <w:rFonts w:hint="default"/>
                <w:vertAlign w:val="baseline"/>
                <w:lang w:val="en-US" w:eastAsia="zh-CN"/>
              </w:rPr>
            </w:pPr>
            <w:r>
              <w:rPr>
                <w:rFonts w:hint="eastAsia"/>
                <w:vertAlign w:val="baseline"/>
                <w:lang w:val="en-US" w:eastAsia="zh-CN"/>
              </w:rPr>
              <w:t>序号</w:t>
            </w:r>
          </w:p>
        </w:tc>
        <w:tc>
          <w:tcPr>
            <w:tcW w:w="2066" w:type="dxa"/>
            <w:vAlign w:val="center"/>
          </w:tcPr>
          <w:p w14:paraId="51DC8CB1">
            <w:pPr>
              <w:jc w:val="center"/>
              <w:rPr>
                <w:rFonts w:hint="default"/>
                <w:vertAlign w:val="baseline"/>
                <w:lang w:val="en-US" w:eastAsia="zh-CN"/>
              </w:rPr>
            </w:pPr>
            <w:r>
              <w:rPr>
                <w:rFonts w:hint="eastAsia"/>
                <w:vertAlign w:val="baseline"/>
                <w:lang w:val="en-US" w:eastAsia="zh-CN"/>
              </w:rPr>
              <w:t>设备名称</w:t>
            </w:r>
          </w:p>
        </w:tc>
        <w:tc>
          <w:tcPr>
            <w:tcW w:w="1420" w:type="dxa"/>
            <w:vAlign w:val="center"/>
          </w:tcPr>
          <w:p w14:paraId="04967E12">
            <w:pPr>
              <w:jc w:val="center"/>
              <w:rPr>
                <w:rFonts w:hint="default"/>
                <w:vertAlign w:val="baseline"/>
                <w:lang w:val="en-US" w:eastAsia="zh-CN"/>
              </w:rPr>
            </w:pPr>
            <w:r>
              <w:rPr>
                <w:rFonts w:hint="eastAsia"/>
                <w:vertAlign w:val="baseline"/>
                <w:lang w:val="en-US" w:eastAsia="zh-CN"/>
              </w:rPr>
              <w:t>规格</w:t>
            </w:r>
          </w:p>
        </w:tc>
        <w:tc>
          <w:tcPr>
            <w:tcW w:w="1420" w:type="dxa"/>
            <w:vAlign w:val="center"/>
          </w:tcPr>
          <w:p w14:paraId="0C672575">
            <w:pPr>
              <w:jc w:val="center"/>
              <w:rPr>
                <w:rFonts w:hint="default"/>
                <w:vertAlign w:val="baseline"/>
                <w:lang w:val="en-US" w:eastAsia="zh-CN"/>
              </w:rPr>
            </w:pPr>
            <w:r>
              <w:rPr>
                <w:rFonts w:hint="eastAsia"/>
                <w:vertAlign w:val="baseline"/>
                <w:lang w:val="en-US" w:eastAsia="zh-CN"/>
              </w:rPr>
              <w:t>单位</w:t>
            </w:r>
          </w:p>
        </w:tc>
        <w:tc>
          <w:tcPr>
            <w:tcW w:w="1420" w:type="dxa"/>
            <w:vAlign w:val="center"/>
          </w:tcPr>
          <w:p w14:paraId="77132452">
            <w:pPr>
              <w:jc w:val="center"/>
              <w:rPr>
                <w:rFonts w:hint="default"/>
                <w:vertAlign w:val="baseline"/>
                <w:lang w:val="en-US" w:eastAsia="zh-CN"/>
              </w:rPr>
            </w:pPr>
            <w:r>
              <w:rPr>
                <w:rFonts w:hint="eastAsia"/>
                <w:vertAlign w:val="baseline"/>
                <w:lang w:val="en-US" w:eastAsia="zh-CN"/>
              </w:rPr>
              <w:t>数量</w:t>
            </w:r>
          </w:p>
        </w:tc>
        <w:tc>
          <w:tcPr>
            <w:tcW w:w="1420" w:type="dxa"/>
            <w:vAlign w:val="center"/>
          </w:tcPr>
          <w:p w14:paraId="01CFE9F0">
            <w:pPr>
              <w:jc w:val="center"/>
              <w:rPr>
                <w:rFonts w:hint="default"/>
                <w:vertAlign w:val="baseline"/>
                <w:lang w:val="en-US" w:eastAsia="zh-CN"/>
              </w:rPr>
            </w:pPr>
            <w:r>
              <w:rPr>
                <w:rFonts w:hint="eastAsia"/>
                <w:vertAlign w:val="baseline"/>
                <w:lang w:val="en-US" w:eastAsia="zh-CN"/>
              </w:rPr>
              <w:t>备注</w:t>
            </w:r>
          </w:p>
        </w:tc>
      </w:tr>
      <w:tr w14:paraId="70F8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737C2A32">
            <w:pPr>
              <w:jc w:val="center"/>
              <w:rPr>
                <w:rFonts w:hint="default"/>
                <w:vertAlign w:val="baseline"/>
                <w:lang w:val="en-US" w:eastAsia="zh-CN"/>
              </w:rPr>
            </w:pPr>
            <w:r>
              <w:rPr>
                <w:rFonts w:hint="eastAsia"/>
                <w:vertAlign w:val="baseline"/>
                <w:lang w:val="en-US" w:eastAsia="zh-CN"/>
              </w:rPr>
              <w:t>1</w:t>
            </w:r>
          </w:p>
        </w:tc>
        <w:tc>
          <w:tcPr>
            <w:tcW w:w="2066" w:type="dxa"/>
            <w:vAlign w:val="center"/>
          </w:tcPr>
          <w:p w14:paraId="136B9B4F">
            <w:pPr>
              <w:jc w:val="center"/>
              <w:rPr>
                <w:rFonts w:hint="default"/>
                <w:vertAlign w:val="baseline"/>
                <w:lang w:val="en-US" w:eastAsia="zh-CN"/>
              </w:rPr>
            </w:pPr>
            <w:r>
              <w:rPr>
                <w:rFonts w:hint="default"/>
                <w:vertAlign w:val="baseline"/>
                <w:lang w:val="en-US" w:eastAsia="zh-CN"/>
              </w:rPr>
              <w:t>电力变压器系统</w:t>
            </w:r>
          </w:p>
        </w:tc>
        <w:tc>
          <w:tcPr>
            <w:tcW w:w="1420" w:type="dxa"/>
            <w:vAlign w:val="center"/>
          </w:tcPr>
          <w:p w14:paraId="6E1D19C7">
            <w:pPr>
              <w:jc w:val="center"/>
              <w:rPr>
                <w:rFonts w:hint="default"/>
                <w:vertAlign w:val="baseline"/>
                <w:lang w:val="en-US" w:eastAsia="zh-CN"/>
              </w:rPr>
            </w:pPr>
            <w:r>
              <w:rPr>
                <w:rFonts w:hint="default"/>
                <w:vertAlign w:val="baseline"/>
                <w:lang w:val="en-US" w:eastAsia="zh-CN"/>
              </w:rPr>
              <w:t>容量（kV·A） ≤2000</w:t>
            </w:r>
          </w:p>
        </w:tc>
        <w:tc>
          <w:tcPr>
            <w:tcW w:w="1420" w:type="dxa"/>
            <w:vAlign w:val="center"/>
          </w:tcPr>
          <w:p w14:paraId="2718F0B8">
            <w:pPr>
              <w:jc w:val="center"/>
              <w:rPr>
                <w:rFonts w:hint="default"/>
                <w:vertAlign w:val="baseline"/>
                <w:lang w:val="en-US" w:eastAsia="zh-CN"/>
              </w:rPr>
            </w:pPr>
            <w:r>
              <w:rPr>
                <w:rFonts w:hint="eastAsia"/>
                <w:vertAlign w:val="baseline"/>
                <w:lang w:val="en-US" w:eastAsia="zh-CN"/>
              </w:rPr>
              <w:t>台</w:t>
            </w:r>
          </w:p>
        </w:tc>
        <w:tc>
          <w:tcPr>
            <w:tcW w:w="1420" w:type="dxa"/>
            <w:vAlign w:val="center"/>
          </w:tcPr>
          <w:p w14:paraId="6521D1DA">
            <w:pPr>
              <w:jc w:val="center"/>
              <w:rPr>
                <w:rFonts w:hint="default"/>
                <w:vertAlign w:val="baseline"/>
                <w:lang w:val="en-US" w:eastAsia="zh-CN"/>
              </w:rPr>
            </w:pPr>
            <w:r>
              <w:rPr>
                <w:rFonts w:hint="eastAsia"/>
                <w:vertAlign w:val="baseline"/>
                <w:lang w:val="en-US" w:eastAsia="zh-CN"/>
              </w:rPr>
              <w:t>8</w:t>
            </w:r>
          </w:p>
        </w:tc>
        <w:tc>
          <w:tcPr>
            <w:tcW w:w="1420" w:type="dxa"/>
            <w:vMerge w:val="restart"/>
            <w:vAlign w:val="center"/>
          </w:tcPr>
          <w:p w14:paraId="15BC01D0">
            <w:pPr>
              <w:bidi w:val="0"/>
              <w:jc w:val="center"/>
              <w:rPr>
                <w:rFonts w:hint="default"/>
                <w:lang w:val="en-US" w:eastAsia="zh-CN"/>
              </w:rPr>
            </w:pPr>
            <w:r>
              <w:rPr>
                <w:rFonts w:hint="eastAsia"/>
                <w:lang w:val="en-US" w:eastAsia="zh-CN"/>
              </w:rPr>
              <w:t>内线</w:t>
            </w:r>
          </w:p>
        </w:tc>
      </w:tr>
      <w:tr w14:paraId="7694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36BA2FBE">
            <w:pPr>
              <w:jc w:val="center"/>
              <w:rPr>
                <w:rFonts w:hint="default"/>
                <w:vertAlign w:val="baseline"/>
                <w:lang w:val="en-US" w:eastAsia="zh-CN"/>
              </w:rPr>
            </w:pPr>
            <w:r>
              <w:rPr>
                <w:rFonts w:hint="eastAsia"/>
                <w:vertAlign w:val="baseline"/>
                <w:lang w:val="en-US" w:eastAsia="zh-CN"/>
              </w:rPr>
              <w:t>2</w:t>
            </w:r>
          </w:p>
        </w:tc>
        <w:tc>
          <w:tcPr>
            <w:tcW w:w="2066" w:type="dxa"/>
            <w:vAlign w:val="center"/>
          </w:tcPr>
          <w:p w14:paraId="3722E505">
            <w:pPr>
              <w:jc w:val="center"/>
              <w:rPr>
                <w:rFonts w:hint="default"/>
                <w:vertAlign w:val="baseline"/>
                <w:lang w:val="en-US" w:eastAsia="zh-CN"/>
              </w:rPr>
            </w:pPr>
            <w:r>
              <w:rPr>
                <w:rFonts w:hint="default"/>
                <w:vertAlign w:val="baseline"/>
                <w:lang w:val="en-US" w:eastAsia="zh-CN"/>
              </w:rPr>
              <w:t>电力变压器系统</w:t>
            </w:r>
          </w:p>
        </w:tc>
        <w:tc>
          <w:tcPr>
            <w:tcW w:w="1420" w:type="dxa"/>
            <w:vAlign w:val="center"/>
          </w:tcPr>
          <w:p w14:paraId="0466ECEE">
            <w:pPr>
              <w:jc w:val="center"/>
              <w:rPr>
                <w:rFonts w:hint="default"/>
                <w:vertAlign w:val="baseline"/>
                <w:lang w:val="en-US" w:eastAsia="zh-CN"/>
              </w:rPr>
            </w:pPr>
            <w:r>
              <w:rPr>
                <w:rFonts w:hint="default"/>
                <w:vertAlign w:val="baseline"/>
                <w:lang w:val="en-US" w:eastAsia="zh-CN"/>
              </w:rPr>
              <w:t>容量（kV·A） ≤800</w:t>
            </w:r>
          </w:p>
        </w:tc>
        <w:tc>
          <w:tcPr>
            <w:tcW w:w="1420" w:type="dxa"/>
            <w:vAlign w:val="center"/>
          </w:tcPr>
          <w:p w14:paraId="73962020">
            <w:pPr>
              <w:jc w:val="center"/>
              <w:rPr>
                <w:rFonts w:hint="default"/>
                <w:vertAlign w:val="baseline"/>
                <w:lang w:val="en-US" w:eastAsia="zh-CN"/>
              </w:rPr>
            </w:pPr>
            <w:r>
              <w:rPr>
                <w:rFonts w:hint="eastAsia"/>
                <w:vertAlign w:val="baseline"/>
                <w:lang w:val="en-US" w:eastAsia="zh-CN"/>
              </w:rPr>
              <w:t>台</w:t>
            </w:r>
          </w:p>
        </w:tc>
        <w:tc>
          <w:tcPr>
            <w:tcW w:w="1420" w:type="dxa"/>
            <w:vAlign w:val="center"/>
          </w:tcPr>
          <w:p w14:paraId="44E64E2C">
            <w:pPr>
              <w:jc w:val="center"/>
              <w:rPr>
                <w:rFonts w:hint="default"/>
                <w:vertAlign w:val="baseline"/>
                <w:lang w:val="en-US" w:eastAsia="zh-CN"/>
              </w:rPr>
            </w:pPr>
            <w:r>
              <w:rPr>
                <w:rFonts w:hint="eastAsia"/>
                <w:vertAlign w:val="baseline"/>
                <w:lang w:val="en-US" w:eastAsia="zh-CN"/>
              </w:rPr>
              <w:t>1</w:t>
            </w:r>
          </w:p>
        </w:tc>
        <w:tc>
          <w:tcPr>
            <w:tcW w:w="1420" w:type="dxa"/>
            <w:vMerge w:val="continue"/>
            <w:vAlign w:val="center"/>
          </w:tcPr>
          <w:p w14:paraId="6E863A30">
            <w:pPr>
              <w:jc w:val="center"/>
              <w:rPr>
                <w:rFonts w:hint="default"/>
                <w:vertAlign w:val="baseline"/>
                <w:lang w:val="en-US" w:eastAsia="zh-CN"/>
              </w:rPr>
            </w:pPr>
          </w:p>
        </w:tc>
      </w:tr>
      <w:tr w14:paraId="01A8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30ECA9E6">
            <w:pPr>
              <w:jc w:val="center"/>
              <w:rPr>
                <w:rFonts w:hint="default"/>
                <w:vertAlign w:val="baseline"/>
                <w:lang w:val="en-US" w:eastAsia="zh-CN"/>
              </w:rPr>
            </w:pPr>
            <w:r>
              <w:rPr>
                <w:rFonts w:hint="eastAsia"/>
                <w:vertAlign w:val="baseline"/>
                <w:lang w:val="en-US" w:eastAsia="zh-CN"/>
              </w:rPr>
              <w:t>3</w:t>
            </w:r>
          </w:p>
        </w:tc>
        <w:tc>
          <w:tcPr>
            <w:tcW w:w="2066" w:type="dxa"/>
            <w:vAlign w:val="center"/>
          </w:tcPr>
          <w:p w14:paraId="03961A66">
            <w:pPr>
              <w:jc w:val="center"/>
              <w:rPr>
                <w:rFonts w:hint="default"/>
                <w:vertAlign w:val="baseline"/>
                <w:lang w:val="en-US" w:eastAsia="zh-CN"/>
              </w:rPr>
            </w:pPr>
            <w:r>
              <w:rPr>
                <w:rFonts w:hint="default"/>
                <w:vertAlign w:val="baseline"/>
                <w:lang w:val="en-US" w:eastAsia="zh-CN"/>
              </w:rPr>
              <w:t>送配电装置系统</w:t>
            </w:r>
          </w:p>
        </w:tc>
        <w:tc>
          <w:tcPr>
            <w:tcW w:w="1420" w:type="dxa"/>
            <w:vAlign w:val="center"/>
          </w:tcPr>
          <w:p w14:paraId="3AC1434E">
            <w:pPr>
              <w:jc w:val="center"/>
              <w:rPr>
                <w:rFonts w:hint="default"/>
                <w:vertAlign w:val="baseline"/>
                <w:lang w:val="en-US" w:eastAsia="zh-CN"/>
              </w:rPr>
            </w:pPr>
            <w:r>
              <w:rPr>
                <w:rFonts w:hint="default"/>
                <w:vertAlign w:val="baseline"/>
                <w:lang w:val="en-US" w:eastAsia="zh-CN"/>
              </w:rPr>
              <w:t>≤10kV交流供电 带断路器</w:t>
            </w:r>
          </w:p>
        </w:tc>
        <w:tc>
          <w:tcPr>
            <w:tcW w:w="1420" w:type="dxa"/>
            <w:vAlign w:val="center"/>
          </w:tcPr>
          <w:p w14:paraId="2533D75D">
            <w:pPr>
              <w:jc w:val="center"/>
              <w:rPr>
                <w:rFonts w:hint="default"/>
                <w:vertAlign w:val="baseline"/>
                <w:lang w:val="en-US" w:eastAsia="zh-CN"/>
              </w:rPr>
            </w:pPr>
            <w:r>
              <w:rPr>
                <w:rFonts w:hint="eastAsia"/>
                <w:vertAlign w:val="baseline"/>
                <w:lang w:val="en-US" w:eastAsia="zh-CN"/>
              </w:rPr>
              <w:t>套</w:t>
            </w:r>
          </w:p>
        </w:tc>
        <w:tc>
          <w:tcPr>
            <w:tcW w:w="1420" w:type="dxa"/>
            <w:vAlign w:val="center"/>
          </w:tcPr>
          <w:p w14:paraId="1B8DC9D0">
            <w:pPr>
              <w:jc w:val="center"/>
              <w:rPr>
                <w:rFonts w:hint="default"/>
                <w:vertAlign w:val="baseline"/>
                <w:lang w:val="en-US" w:eastAsia="zh-CN"/>
              </w:rPr>
            </w:pPr>
            <w:r>
              <w:rPr>
                <w:rFonts w:hint="eastAsia"/>
                <w:vertAlign w:val="baseline"/>
                <w:lang w:val="en-US" w:eastAsia="zh-CN"/>
              </w:rPr>
              <w:t>2</w:t>
            </w:r>
          </w:p>
        </w:tc>
        <w:tc>
          <w:tcPr>
            <w:tcW w:w="1420" w:type="dxa"/>
            <w:vMerge w:val="continue"/>
            <w:vAlign w:val="center"/>
          </w:tcPr>
          <w:p w14:paraId="70CC80C0">
            <w:pPr>
              <w:jc w:val="center"/>
              <w:rPr>
                <w:rFonts w:hint="default"/>
                <w:vertAlign w:val="baseline"/>
                <w:lang w:val="en-US" w:eastAsia="zh-CN"/>
              </w:rPr>
            </w:pPr>
          </w:p>
        </w:tc>
      </w:tr>
      <w:tr w14:paraId="0148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1B37B835">
            <w:pPr>
              <w:jc w:val="center"/>
              <w:rPr>
                <w:rFonts w:hint="default"/>
                <w:vertAlign w:val="baseline"/>
                <w:lang w:val="en-US" w:eastAsia="zh-CN"/>
              </w:rPr>
            </w:pPr>
            <w:r>
              <w:rPr>
                <w:rFonts w:hint="eastAsia"/>
                <w:vertAlign w:val="baseline"/>
                <w:lang w:val="en-US" w:eastAsia="zh-CN"/>
              </w:rPr>
              <w:t>4</w:t>
            </w:r>
          </w:p>
        </w:tc>
        <w:tc>
          <w:tcPr>
            <w:tcW w:w="2066" w:type="dxa"/>
            <w:vAlign w:val="center"/>
          </w:tcPr>
          <w:p w14:paraId="64623633">
            <w:pPr>
              <w:jc w:val="center"/>
              <w:rPr>
                <w:rFonts w:hint="default"/>
                <w:vertAlign w:val="baseline"/>
                <w:lang w:val="en-US" w:eastAsia="zh-CN"/>
              </w:rPr>
            </w:pPr>
            <w:r>
              <w:rPr>
                <w:rFonts w:hint="default"/>
                <w:vertAlign w:val="baseline"/>
                <w:lang w:val="en-US" w:eastAsia="zh-CN"/>
              </w:rPr>
              <w:t>送配电装置系统</w:t>
            </w:r>
          </w:p>
        </w:tc>
        <w:tc>
          <w:tcPr>
            <w:tcW w:w="1420" w:type="dxa"/>
            <w:vAlign w:val="center"/>
          </w:tcPr>
          <w:p w14:paraId="5080D9CA">
            <w:pPr>
              <w:jc w:val="center"/>
              <w:rPr>
                <w:rFonts w:hint="default"/>
                <w:vertAlign w:val="baseline"/>
                <w:lang w:val="en-US" w:eastAsia="zh-CN"/>
              </w:rPr>
            </w:pPr>
            <w:r>
              <w:rPr>
                <w:rFonts w:hint="default"/>
                <w:vertAlign w:val="baseline"/>
                <w:lang w:val="en-US" w:eastAsia="zh-CN"/>
              </w:rPr>
              <w:t>≤1kV交流供电</w:t>
            </w:r>
          </w:p>
        </w:tc>
        <w:tc>
          <w:tcPr>
            <w:tcW w:w="1420" w:type="dxa"/>
            <w:vAlign w:val="center"/>
          </w:tcPr>
          <w:p w14:paraId="561FD45F">
            <w:pPr>
              <w:jc w:val="center"/>
              <w:rPr>
                <w:rFonts w:hint="default"/>
                <w:vertAlign w:val="baseline"/>
                <w:lang w:val="en-US" w:eastAsia="zh-CN"/>
              </w:rPr>
            </w:pPr>
            <w:r>
              <w:rPr>
                <w:rFonts w:hint="eastAsia"/>
                <w:vertAlign w:val="baseline"/>
                <w:lang w:val="en-US" w:eastAsia="zh-CN"/>
              </w:rPr>
              <w:t>套</w:t>
            </w:r>
          </w:p>
        </w:tc>
        <w:tc>
          <w:tcPr>
            <w:tcW w:w="1420" w:type="dxa"/>
            <w:vAlign w:val="center"/>
          </w:tcPr>
          <w:p w14:paraId="27726F81">
            <w:pPr>
              <w:jc w:val="center"/>
              <w:rPr>
                <w:rFonts w:hint="default"/>
                <w:vertAlign w:val="baseline"/>
                <w:lang w:val="en-US" w:eastAsia="zh-CN"/>
              </w:rPr>
            </w:pPr>
            <w:r>
              <w:rPr>
                <w:rFonts w:hint="eastAsia"/>
                <w:vertAlign w:val="baseline"/>
                <w:lang w:val="en-US" w:eastAsia="zh-CN"/>
              </w:rPr>
              <w:t>9</w:t>
            </w:r>
          </w:p>
        </w:tc>
        <w:tc>
          <w:tcPr>
            <w:tcW w:w="1420" w:type="dxa"/>
            <w:vMerge w:val="continue"/>
            <w:vAlign w:val="center"/>
          </w:tcPr>
          <w:p w14:paraId="4A3F8EEE">
            <w:pPr>
              <w:jc w:val="center"/>
              <w:rPr>
                <w:rFonts w:hint="default"/>
                <w:vertAlign w:val="baseline"/>
                <w:lang w:val="en-US" w:eastAsia="zh-CN"/>
              </w:rPr>
            </w:pPr>
          </w:p>
        </w:tc>
      </w:tr>
      <w:tr w14:paraId="2B2F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275C6F6B">
            <w:pPr>
              <w:jc w:val="center"/>
              <w:rPr>
                <w:rFonts w:hint="default"/>
                <w:vertAlign w:val="baseline"/>
                <w:lang w:val="en-US" w:eastAsia="zh-CN"/>
              </w:rPr>
            </w:pPr>
            <w:r>
              <w:rPr>
                <w:rFonts w:hint="eastAsia"/>
                <w:vertAlign w:val="baseline"/>
                <w:lang w:val="en-US" w:eastAsia="zh-CN"/>
              </w:rPr>
              <w:t>5</w:t>
            </w:r>
          </w:p>
        </w:tc>
        <w:tc>
          <w:tcPr>
            <w:tcW w:w="2066" w:type="dxa"/>
            <w:vAlign w:val="center"/>
          </w:tcPr>
          <w:p w14:paraId="07C74C2F">
            <w:pPr>
              <w:jc w:val="center"/>
              <w:rPr>
                <w:rFonts w:hint="default"/>
                <w:vertAlign w:val="baseline"/>
                <w:lang w:val="en-US" w:eastAsia="zh-CN"/>
              </w:rPr>
            </w:pPr>
            <w:r>
              <w:rPr>
                <w:rFonts w:hint="default"/>
                <w:vertAlign w:val="baseline"/>
                <w:lang w:val="en-US" w:eastAsia="zh-CN"/>
              </w:rPr>
              <w:t>电缆试验</w:t>
            </w:r>
          </w:p>
        </w:tc>
        <w:tc>
          <w:tcPr>
            <w:tcW w:w="1420" w:type="dxa"/>
            <w:vAlign w:val="center"/>
          </w:tcPr>
          <w:p w14:paraId="015F260E">
            <w:pPr>
              <w:jc w:val="center"/>
              <w:rPr>
                <w:rFonts w:hint="default"/>
                <w:vertAlign w:val="baseline"/>
                <w:lang w:val="en-US" w:eastAsia="zh-CN"/>
              </w:rPr>
            </w:pPr>
          </w:p>
        </w:tc>
        <w:tc>
          <w:tcPr>
            <w:tcW w:w="1420" w:type="dxa"/>
            <w:vAlign w:val="center"/>
          </w:tcPr>
          <w:p w14:paraId="4D0560DA">
            <w:pPr>
              <w:jc w:val="center"/>
              <w:rPr>
                <w:rFonts w:hint="default"/>
                <w:vertAlign w:val="baseline"/>
                <w:lang w:val="en-US" w:eastAsia="zh-CN"/>
              </w:rPr>
            </w:pPr>
            <w:r>
              <w:rPr>
                <w:rFonts w:hint="default"/>
                <w:vertAlign w:val="baseline"/>
                <w:lang w:val="en-US" w:eastAsia="zh-CN"/>
              </w:rPr>
              <w:t>次（根、点）</w:t>
            </w:r>
          </w:p>
        </w:tc>
        <w:tc>
          <w:tcPr>
            <w:tcW w:w="1420" w:type="dxa"/>
            <w:vAlign w:val="center"/>
          </w:tcPr>
          <w:p w14:paraId="6945A0D9">
            <w:pPr>
              <w:jc w:val="center"/>
              <w:rPr>
                <w:rFonts w:hint="default"/>
                <w:vertAlign w:val="baseline"/>
                <w:lang w:val="en-US" w:eastAsia="zh-CN"/>
              </w:rPr>
            </w:pPr>
            <w:r>
              <w:rPr>
                <w:rFonts w:hint="eastAsia"/>
                <w:vertAlign w:val="baseline"/>
                <w:lang w:val="en-US" w:eastAsia="zh-CN"/>
              </w:rPr>
              <w:t>13</w:t>
            </w:r>
          </w:p>
        </w:tc>
        <w:tc>
          <w:tcPr>
            <w:tcW w:w="1420" w:type="dxa"/>
            <w:vMerge w:val="continue"/>
            <w:vAlign w:val="center"/>
          </w:tcPr>
          <w:p w14:paraId="66575160">
            <w:pPr>
              <w:jc w:val="center"/>
              <w:rPr>
                <w:rFonts w:hint="default"/>
                <w:vertAlign w:val="baseline"/>
                <w:lang w:val="en-US" w:eastAsia="zh-CN"/>
              </w:rPr>
            </w:pPr>
          </w:p>
        </w:tc>
      </w:tr>
      <w:tr w14:paraId="4C5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1F88BABF">
            <w:pPr>
              <w:jc w:val="center"/>
              <w:rPr>
                <w:rFonts w:hint="default"/>
                <w:vertAlign w:val="baseline"/>
                <w:lang w:val="en-US" w:eastAsia="zh-CN"/>
              </w:rPr>
            </w:pPr>
            <w:r>
              <w:rPr>
                <w:rFonts w:hint="eastAsia"/>
                <w:vertAlign w:val="baseline"/>
                <w:lang w:val="en-US" w:eastAsia="zh-CN"/>
              </w:rPr>
              <w:t>6</w:t>
            </w:r>
          </w:p>
        </w:tc>
        <w:tc>
          <w:tcPr>
            <w:tcW w:w="2066" w:type="dxa"/>
            <w:vAlign w:val="center"/>
          </w:tcPr>
          <w:p w14:paraId="191BE843">
            <w:pPr>
              <w:jc w:val="center"/>
              <w:rPr>
                <w:rFonts w:hint="default"/>
                <w:vertAlign w:val="baseline"/>
                <w:lang w:val="en-US" w:eastAsia="zh-CN"/>
              </w:rPr>
            </w:pPr>
            <w:r>
              <w:rPr>
                <w:rFonts w:hint="default"/>
                <w:vertAlign w:val="baseline"/>
                <w:lang w:val="en-US" w:eastAsia="zh-CN"/>
              </w:rPr>
              <w:t>母线</w:t>
            </w:r>
          </w:p>
        </w:tc>
        <w:tc>
          <w:tcPr>
            <w:tcW w:w="1420" w:type="dxa"/>
            <w:vAlign w:val="center"/>
          </w:tcPr>
          <w:p w14:paraId="39837D06">
            <w:pPr>
              <w:jc w:val="center"/>
              <w:rPr>
                <w:rFonts w:hint="default"/>
                <w:vertAlign w:val="baseline"/>
                <w:lang w:val="en-US" w:eastAsia="zh-CN"/>
              </w:rPr>
            </w:pPr>
            <w:r>
              <w:rPr>
                <w:rFonts w:hint="default"/>
                <w:vertAlign w:val="baseline"/>
                <w:lang w:val="en-US" w:eastAsia="zh-CN"/>
              </w:rPr>
              <w:t>电压 ≤1kV</w:t>
            </w:r>
          </w:p>
        </w:tc>
        <w:tc>
          <w:tcPr>
            <w:tcW w:w="1420" w:type="dxa"/>
            <w:vAlign w:val="center"/>
          </w:tcPr>
          <w:p w14:paraId="6FCA92C4">
            <w:pPr>
              <w:jc w:val="center"/>
              <w:rPr>
                <w:rFonts w:hint="default"/>
                <w:vertAlign w:val="baseline"/>
                <w:lang w:val="en-US" w:eastAsia="zh-CN"/>
              </w:rPr>
            </w:pPr>
            <w:r>
              <w:rPr>
                <w:rFonts w:hint="default"/>
                <w:vertAlign w:val="baseline"/>
                <w:lang w:val="en-US" w:eastAsia="zh-CN"/>
              </w:rPr>
              <w:t>段</w:t>
            </w:r>
          </w:p>
        </w:tc>
        <w:tc>
          <w:tcPr>
            <w:tcW w:w="1420" w:type="dxa"/>
            <w:vAlign w:val="center"/>
          </w:tcPr>
          <w:p w14:paraId="5CB885FA">
            <w:pPr>
              <w:jc w:val="center"/>
              <w:rPr>
                <w:rFonts w:hint="default"/>
                <w:vertAlign w:val="baseline"/>
                <w:lang w:val="en-US" w:eastAsia="zh-CN"/>
              </w:rPr>
            </w:pPr>
            <w:r>
              <w:rPr>
                <w:rFonts w:hint="eastAsia"/>
                <w:vertAlign w:val="baseline"/>
                <w:lang w:val="en-US" w:eastAsia="zh-CN"/>
              </w:rPr>
              <w:t>9</w:t>
            </w:r>
          </w:p>
        </w:tc>
        <w:tc>
          <w:tcPr>
            <w:tcW w:w="1420" w:type="dxa"/>
            <w:vMerge w:val="continue"/>
            <w:vAlign w:val="center"/>
          </w:tcPr>
          <w:p w14:paraId="28047DFE">
            <w:pPr>
              <w:jc w:val="center"/>
              <w:rPr>
                <w:rFonts w:hint="default"/>
                <w:vertAlign w:val="baseline"/>
                <w:lang w:val="en-US" w:eastAsia="zh-CN"/>
              </w:rPr>
            </w:pPr>
          </w:p>
        </w:tc>
      </w:tr>
      <w:tr w14:paraId="3997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6299BDB9">
            <w:pPr>
              <w:jc w:val="center"/>
              <w:rPr>
                <w:rFonts w:hint="default"/>
                <w:vertAlign w:val="baseline"/>
                <w:lang w:val="en-US" w:eastAsia="zh-CN"/>
              </w:rPr>
            </w:pPr>
            <w:r>
              <w:rPr>
                <w:rFonts w:hint="eastAsia"/>
                <w:vertAlign w:val="baseline"/>
                <w:lang w:val="en-US" w:eastAsia="zh-CN"/>
              </w:rPr>
              <w:t>7</w:t>
            </w:r>
          </w:p>
        </w:tc>
        <w:tc>
          <w:tcPr>
            <w:tcW w:w="2066" w:type="dxa"/>
            <w:vAlign w:val="center"/>
          </w:tcPr>
          <w:p w14:paraId="4E02F751">
            <w:pPr>
              <w:jc w:val="center"/>
              <w:rPr>
                <w:rFonts w:hint="default"/>
                <w:vertAlign w:val="baseline"/>
                <w:lang w:val="en-US" w:eastAsia="zh-CN"/>
              </w:rPr>
            </w:pPr>
            <w:r>
              <w:rPr>
                <w:rFonts w:hint="default"/>
                <w:vertAlign w:val="baseline"/>
                <w:lang w:val="en-US" w:eastAsia="zh-CN"/>
              </w:rPr>
              <w:t>10kV及以下开闭所成套装置系统调试</w:t>
            </w:r>
          </w:p>
        </w:tc>
        <w:tc>
          <w:tcPr>
            <w:tcW w:w="1420" w:type="dxa"/>
            <w:vAlign w:val="center"/>
          </w:tcPr>
          <w:p w14:paraId="3E322346">
            <w:pPr>
              <w:jc w:val="center"/>
              <w:rPr>
                <w:rFonts w:hint="default"/>
                <w:vertAlign w:val="baseline"/>
                <w:lang w:val="en-US" w:eastAsia="zh-CN"/>
              </w:rPr>
            </w:pPr>
          </w:p>
        </w:tc>
        <w:tc>
          <w:tcPr>
            <w:tcW w:w="1420" w:type="dxa"/>
            <w:vAlign w:val="center"/>
          </w:tcPr>
          <w:p w14:paraId="31A8DCD7">
            <w:pPr>
              <w:jc w:val="center"/>
              <w:rPr>
                <w:rFonts w:hint="default"/>
                <w:vertAlign w:val="baseline"/>
                <w:lang w:val="en-US" w:eastAsia="zh-CN"/>
              </w:rPr>
            </w:pPr>
            <w:r>
              <w:rPr>
                <w:rFonts w:hint="eastAsia"/>
                <w:vertAlign w:val="baseline"/>
                <w:lang w:val="en-US" w:eastAsia="zh-CN"/>
              </w:rPr>
              <w:t>套</w:t>
            </w:r>
          </w:p>
        </w:tc>
        <w:tc>
          <w:tcPr>
            <w:tcW w:w="1420" w:type="dxa"/>
            <w:vAlign w:val="center"/>
          </w:tcPr>
          <w:p w14:paraId="09A0C867">
            <w:pPr>
              <w:jc w:val="center"/>
              <w:rPr>
                <w:rFonts w:hint="default"/>
                <w:vertAlign w:val="baseline"/>
                <w:lang w:val="en-US" w:eastAsia="zh-CN"/>
              </w:rPr>
            </w:pPr>
            <w:r>
              <w:rPr>
                <w:rFonts w:hint="eastAsia"/>
                <w:vertAlign w:val="baseline"/>
                <w:lang w:val="en-US" w:eastAsia="zh-CN"/>
              </w:rPr>
              <w:t>1</w:t>
            </w:r>
          </w:p>
        </w:tc>
        <w:tc>
          <w:tcPr>
            <w:tcW w:w="1420" w:type="dxa"/>
            <w:vMerge w:val="restart"/>
            <w:vAlign w:val="center"/>
          </w:tcPr>
          <w:p w14:paraId="6E2DD73C">
            <w:pPr>
              <w:jc w:val="center"/>
              <w:rPr>
                <w:rFonts w:hint="default"/>
                <w:vertAlign w:val="baseline"/>
                <w:lang w:val="en-US" w:eastAsia="zh-CN"/>
              </w:rPr>
            </w:pPr>
            <w:r>
              <w:rPr>
                <w:rFonts w:hint="eastAsia"/>
                <w:vertAlign w:val="baseline"/>
                <w:lang w:val="en-US" w:eastAsia="zh-CN"/>
              </w:rPr>
              <w:t>外线</w:t>
            </w:r>
          </w:p>
        </w:tc>
      </w:tr>
      <w:tr w14:paraId="40C3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Align w:val="center"/>
          </w:tcPr>
          <w:p w14:paraId="16014B41">
            <w:pPr>
              <w:jc w:val="center"/>
              <w:rPr>
                <w:rFonts w:hint="default"/>
                <w:vertAlign w:val="baseline"/>
                <w:lang w:val="en-US" w:eastAsia="zh-CN"/>
              </w:rPr>
            </w:pPr>
            <w:r>
              <w:rPr>
                <w:rFonts w:hint="eastAsia"/>
                <w:vertAlign w:val="baseline"/>
                <w:lang w:val="en-US" w:eastAsia="zh-CN"/>
              </w:rPr>
              <w:t>8</w:t>
            </w:r>
          </w:p>
        </w:tc>
        <w:tc>
          <w:tcPr>
            <w:tcW w:w="2066" w:type="dxa"/>
            <w:vAlign w:val="center"/>
          </w:tcPr>
          <w:p w14:paraId="7D014267">
            <w:pPr>
              <w:jc w:val="center"/>
              <w:rPr>
                <w:rFonts w:hint="default"/>
                <w:vertAlign w:val="baseline"/>
                <w:lang w:val="en-US" w:eastAsia="zh-CN"/>
              </w:rPr>
            </w:pPr>
            <w:r>
              <w:rPr>
                <w:rFonts w:hint="default"/>
                <w:vertAlign w:val="baseline"/>
                <w:lang w:val="en-US" w:eastAsia="zh-CN"/>
              </w:rPr>
              <w:t>电缆试验</w:t>
            </w:r>
          </w:p>
        </w:tc>
        <w:tc>
          <w:tcPr>
            <w:tcW w:w="1420" w:type="dxa"/>
            <w:vAlign w:val="center"/>
          </w:tcPr>
          <w:p w14:paraId="31A4CD79">
            <w:pPr>
              <w:jc w:val="center"/>
              <w:rPr>
                <w:rFonts w:hint="default"/>
                <w:vertAlign w:val="baseline"/>
                <w:lang w:val="en-US" w:eastAsia="zh-CN"/>
              </w:rPr>
            </w:pPr>
          </w:p>
        </w:tc>
        <w:tc>
          <w:tcPr>
            <w:tcW w:w="1420" w:type="dxa"/>
            <w:vAlign w:val="center"/>
          </w:tcPr>
          <w:p w14:paraId="74A6247D">
            <w:pPr>
              <w:jc w:val="center"/>
              <w:rPr>
                <w:rFonts w:hint="default"/>
                <w:vertAlign w:val="baseline"/>
                <w:lang w:val="en-US" w:eastAsia="zh-CN"/>
              </w:rPr>
            </w:pPr>
            <w:r>
              <w:rPr>
                <w:rFonts w:hint="default"/>
                <w:vertAlign w:val="baseline"/>
                <w:lang w:val="en-US" w:eastAsia="zh-CN"/>
              </w:rPr>
              <w:t>次（根、点）</w:t>
            </w:r>
          </w:p>
        </w:tc>
        <w:tc>
          <w:tcPr>
            <w:tcW w:w="1420" w:type="dxa"/>
            <w:vAlign w:val="center"/>
          </w:tcPr>
          <w:p w14:paraId="51734872">
            <w:pPr>
              <w:jc w:val="center"/>
              <w:rPr>
                <w:rFonts w:hint="default"/>
                <w:vertAlign w:val="baseline"/>
                <w:lang w:val="en-US" w:eastAsia="zh-CN"/>
              </w:rPr>
            </w:pPr>
            <w:r>
              <w:rPr>
                <w:rFonts w:hint="eastAsia"/>
                <w:vertAlign w:val="baseline"/>
                <w:lang w:val="en-US" w:eastAsia="zh-CN"/>
              </w:rPr>
              <w:t>6</w:t>
            </w:r>
          </w:p>
        </w:tc>
        <w:tc>
          <w:tcPr>
            <w:tcW w:w="1420" w:type="dxa"/>
            <w:vMerge w:val="continue"/>
            <w:vAlign w:val="center"/>
          </w:tcPr>
          <w:p w14:paraId="360F6042">
            <w:pPr>
              <w:jc w:val="center"/>
              <w:rPr>
                <w:rFonts w:hint="eastAsia"/>
                <w:vertAlign w:val="baseline"/>
                <w:lang w:val="en-US" w:eastAsia="zh-CN"/>
              </w:rPr>
            </w:pPr>
          </w:p>
        </w:tc>
      </w:tr>
    </w:tbl>
    <w:p w14:paraId="042DB283">
      <w:pPr>
        <w:keepNext w:val="0"/>
        <w:keepLines w:val="0"/>
        <w:widowControl/>
        <w:numPr>
          <w:ilvl w:val="0"/>
          <w:numId w:val="1"/>
        </w:numPr>
        <w:suppressLineNumbers w:val="0"/>
        <w:spacing w:before="0" w:beforeAutospacing="0" w:after="0" w:afterAutospacing="0"/>
        <w:ind w:left="0" w:right="0"/>
        <w:jc w:val="left"/>
        <w:rPr>
          <w:rStyle w:val="6"/>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Style w:val="6"/>
          <w:rFonts w:hint="eastAsia" w:ascii="Microsoft YaHei UI" w:hAnsi="Microsoft YaHei UI" w:eastAsia="Microsoft YaHei UI" w:cs="Microsoft YaHei UI"/>
          <w:i w:val="0"/>
          <w:iCs w:val="0"/>
          <w:caps w:val="0"/>
          <w:spacing w:val="8"/>
          <w:kern w:val="0"/>
          <w:sz w:val="22"/>
          <w:szCs w:val="22"/>
          <w:shd w:val="clear" w:fill="FFFFFF"/>
          <w:lang w:val="en-US" w:eastAsia="zh-CN" w:bidi="ar"/>
        </w:rPr>
        <w:t>服务要求</w:t>
      </w:r>
    </w:p>
    <w:p w14:paraId="38AC52E6">
      <w:pPr>
        <w:keepNext w:val="0"/>
        <w:keepLines w:val="0"/>
        <w:widowControl/>
        <w:numPr>
          <w:ilvl w:val="0"/>
          <w:numId w:val="2"/>
        </w:numPr>
        <w:suppressLineNumbers w:val="0"/>
        <w:spacing w:before="0" w:beforeAutospacing="0" w:after="0" w:afterAutospacing="0"/>
        <w:ind w:right="0" w:right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结合医院特点和实际情况，制定安全规范、设备安全操作细则和试验作业指导书等制度；试验应设立专职或兼职安全员，负责监督检查本规程及有关安全规程、安全制度的贯彻执行，试验负责人应组织编写高压预试方案。方案中应明确保证安全的组织措施和技术措施。</w:t>
      </w:r>
    </w:p>
    <w:p w14:paraId="3D48AED0">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进行高压试验时,应明确试验负责人,试验人员不得少于2人,试验负责人即是安全责任人,对试验 工作的安全全面负责。在高压试验过程中,由试验负责人统一发布操作指令,试验人员应按试验负责人的指令进行试验操作,不应擅自操作。必要时,应在高压试验方案中明确保证安全的具体措施、安全监护人等。高压试验室技术负责人应由从事高压试验工作5年以上,并具有工程师及以上职称的人员担任。试验负责人应由从事高压试验工作2年以上的助理工程师及以上职称人员或技术熟练的高压试验人员担任。</w:t>
      </w:r>
    </w:p>
    <w:p w14:paraId="7B86B7CF">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高压试验试区周围应设置遮栏,遮栏上悬挂适当数量的“止步,高压危险!”标示牌。标示牌的标示应朝向遮栏的外侧。必要时,通往试区的安全遮栏门与试验电源应有联锁装置,当通往试区的遮栏门打开时,试验电源应无法接通,并发出报警信号。在户外试验场进行试验时,除设置必要的遮栏、安全警示牌和安全信号灯外,应派专人监视,以防人员闯入试区。屏蔽遮栏宜由金属制成,可靠接地,其高度不低于2m。在同一试验室内同时进行不同的高压试验时,各试区间应按各自的安全距离用遮栏隔开,同时设置明显的标示牌,留有安全通道。</w:t>
      </w:r>
    </w:p>
    <w:p w14:paraId="6A510EF3">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所有试验人员均需具备相关特种设备操作证书。</w:t>
      </w:r>
    </w:p>
    <w:p w14:paraId="5C3E75B4">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按照国家相关标准对设备进行预试，并出具预试报告。</w:t>
      </w:r>
    </w:p>
    <w:p w14:paraId="496A102D">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8"/>
          <w:kern w:val="0"/>
          <w:sz w:val="22"/>
          <w:szCs w:val="22"/>
          <w:shd w:val="clear" w:fill="FFFFFF"/>
          <w:lang w:val="en-US" w:eastAsia="zh-CN" w:bidi="ar"/>
        </w:rPr>
        <w:t>须具备国家能源局颁发《承装（修、试）电力设施许可证》资质‌。</w:t>
      </w:r>
    </w:p>
    <w:p w14:paraId="3931FC4A"/>
    <w:sectPr>
      <w:pgSz w:w="11906" w:h="16838"/>
      <w:pgMar w:top="2098"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A7B37"/>
    <w:multiLevelType w:val="singleLevel"/>
    <w:tmpl w:val="C01A7B37"/>
    <w:lvl w:ilvl="0" w:tentative="0">
      <w:start w:val="2"/>
      <w:numFmt w:val="chineseCounting"/>
      <w:suff w:val="nothing"/>
      <w:lvlText w:val="%1、"/>
      <w:lvlJc w:val="left"/>
      <w:rPr>
        <w:rFonts w:hint="eastAsia"/>
      </w:rPr>
    </w:lvl>
  </w:abstractNum>
  <w:abstractNum w:abstractNumId="1">
    <w:nsid w:val="5CAD7D0E"/>
    <w:multiLevelType w:val="singleLevel"/>
    <w:tmpl w:val="5CAD7D0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D60EE"/>
    <w:rsid w:val="598E457A"/>
    <w:rsid w:val="65B374CE"/>
    <w:rsid w:val="6B8C4C35"/>
    <w:rsid w:val="71BD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844</Characters>
  <Lines>0</Lines>
  <Paragraphs>0</Paragraphs>
  <TotalTime>4</TotalTime>
  <ScaleCrop>false</ScaleCrop>
  <LinksUpToDate>false</LinksUpToDate>
  <CharactersWithSpaces>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2025-05-19T10:08:00Z</dcterms:created>
  <dc:creator>。</dc:creator>
  <cp:lastModifiedBy>解黎</cp:lastModifiedBy>
  <cp:lastPrinted>2025-05-19T10:10:00Z</cp:lastPrinted>
  <dcterms:modified xsi:type="dcterms:W3CDTF">2025-05-20T01:10:17Z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DAAF9FC51E7A47E8AFFEA723EA62747C_13</vt:lpwstr>
  </property>
  <property fmtid="{D5CDD505-2E9C-101B-9397-08002B2CF9AE}" pid="4" name="KSOTemplateDocerSaveRecord">
    <vt:lpwstr>eyJoZGlkIjoiZDVkZGQ2NWUyYWNkZTM4YjA1NTg0OTZjMDgwZWY4ZWQiLCJ1c2VySWQiOiIyNTY3NTI3ODAifQ==</vt:lpwstr>
  </property>
</Properties>
</file>