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AA3C">
      <w:pPr>
        <w:jc w:val="center"/>
        <w:rPr>
          <w:rFonts w:hint="eastAsia" w:ascii="微软雅黑" w:hAnsi="微软雅黑" w:eastAsia="微软雅黑" w:cs="微软雅黑"/>
          <w:b/>
          <w:bCs w:val="0"/>
          <w:sz w:val="36"/>
          <w:szCs w:val="36"/>
          <w:lang w:val="en-US" w:eastAsia="zh-CN"/>
        </w:rPr>
      </w:pPr>
      <w:bookmarkStart w:id="0" w:name="_Toc31410"/>
      <w:bookmarkStart w:id="1" w:name="_Toc13810"/>
      <w:r>
        <w:rPr>
          <w:rFonts w:hint="eastAsia" w:ascii="微软雅黑" w:hAnsi="微软雅黑" w:cs="微软雅黑"/>
          <w:b/>
          <w:bCs w:val="0"/>
          <w:color w:val="auto"/>
          <w:sz w:val="36"/>
          <w:szCs w:val="36"/>
          <w:highlight w:val="none"/>
          <w:lang w:val="en-US" w:eastAsia="zh-CN"/>
        </w:rPr>
        <w:t>参数</w:t>
      </w:r>
      <w:r>
        <w:rPr>
          <w:rFonts w:hint="eastAsia" w:ascii="微软雅黑" w:hAnsi="微软雅黑" w:eastAsia="微软雅黑" w:cs="微软雅黑"/>
          <w:b/>
          <w:bCs w:val="0"/>
          <w:color w:val="auto"/>
          <w:sz w:val="36"/>
          <w:szCs w:val="36"/>
          <w:highlight w:val="none"/>
          <w:lang w:val="en-US" w:eastAsia="zh-CN"/>
        </w:rPr>
        <w:t>技术</w:t>
      </w:r>
      <w:r>
        <w:rPr>
          <w:rFonts w:hint="eastAsia" w:ascii="微软雅黑" w:hAnsi="微软雅黑" w:cs="微软雅黑"/>
          <w:b/>
          <w:bCs w:val="0"/>
          <w:color w:val="auto"/>
          <w:sz w:val="36"/>
          <w:szCs w:val="36"/>
          <w:highlight w:val="none"/>
          <w:lang w:val="en-US" w:eastAsia="zh-CN"/>
        </w:rPr>
        <w:t>服务</w:t>
      </w:r>
      <w:r>
        <w:rPr>
          <w:rFonts w:hint="eastAsia" w:ascii="微软雅黑" w:hAnsi="微软雅黑" w:eastAsia="微软雅黑" w:cs="微软雅黑"/>
          <w:b/>
          <w:bCs w:val="0"/>
          <w:color w:val="auto"/>
          <w:sz w:val="36"/>
          <w:szCs w:val="36"/>
          <w:highlight w:val="none"/>
        </w:rPr>
        <w:t>要求</w:t>
      </w:r>
      <w:bookmarkEnd w:id="0"/>
      <w:bookmarkEnd w:id="1"/>
    </w:p>
    <w:p w14:paraId="70010633">
      <w:pPr>
        <w:pStyle w:val="5"/>
        <w:bidi w:val="0"/>
        <w:rPr>
          <w:rFonts w:hint="eastAsia"/>
          <w:lang w:val="en-US" w:eastAsia="zh-CN"/>
        </w:rPr>
      </w:pPr>
      <w:r>
        <w:rPr>
          <w:rFonts w:hint="eastAsia" w:ascii="微软雅黑" w:hAnsi="微软雅黑" w:eastAsia="微软雅黑" w:cs="微软雅黑"/>
          <w:bCs/>
          <w:color w:val="auto"/>
          <w:sz w:val="28"/>
          <w:szCs w:val="28"/>
          <w:lang w:val="en-US" w:eastAsia="zh-CN"/>
        </w:rPr>
        <w:t>★</w:t>
      </w:r>
      <w:r>
        <w:rPr>
          <w:rFonts w:hint="eastAsia"/>
          <w:lang w:val="en-US" w:eastAsia="zh-CN"/>
        </w:rPr>
        <w:t>耗材清单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557"/>
        <w:gridCol w:w="940"/>
        <w:gridCol w:w="778"/>
        <w:gridCol w:w="3464"/>
      </w:tblGrid>
      <w:tr w14:paraId="16BF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6C17880E">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序号</w:t>
            </w:r>
          </w:p>
        </w:tc>
        <w:tc>
          <w:tcPr>
            <w:tcW w:w="1557" w:type="dxa"/>
            <w:noWrap w:val="0"/>
            <w:vAlign w:val="top"/>
          </w:tcPr>
          <w:p w14:paraId="26B3ECDE">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耗材名称</w:t>
            </w:r>
          </w:p>
        </w:tc>
        <w:tc>
          <w:tcPr>
            <w:tcW w:w="940" w:type="dxa"/>
            <w:noWrap w:val="0"/>
            <w:vAlign w:val="top"/>
          </w:tcPr>
          <w:p w14:paraId="4C2EB0EE">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单位</w:t>
            </w:r>
          </w:p>
        </w:tc>
        <w:tc>
          <w:tcPr>
            <w:tcW w:w="778" w:type="dxa"/>
            <w:noWrap w:val="0"/>
            <w:vAlign w:val="top"/>
          </w:tcPr>
          <w:p w14:paraId="333A39ED">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数量</w:t>
            </w:r>
          </w:p>
        </w:tc>
        <w:tc>
          <w:tcPr>
            <w:tcW w:w="3464" w:type="dxa"/>
            <w:noWrap w:val="0"/>
            <w:vAlign w:val="top"/>
          </w:tcPr>
          <w:p w14:paraId="6EDA7BA7">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cs="微软雅黑"/>
                <w:sz w:val="24"/>
                <w:szCs w:val="24"/>
                <w:vertAlign w:val="baseline"/>
                <w:lang w:val="en-US" w:eastAsia="zh-CN"/>
              </w:rPr>
              <w:t>规格</w:t>
            </w:r>
            <w:r>
              <w:rPr>
                <w:rFonts w:hint="eastAsia" w:ascii="微软雅黑" w:hAnsi="微软雅黑" w:eastAsia="微软雅黑" w:cs="微软雅黑"/>
                <w:sz w:val="24"/>
                <w:szCs w:val="24"/>
                <w:vertAlign w:val="baseline"/>
                <w:lang w:val="en-US" w:eastAsia="zh-CN"/>
              </w:rPr>
              <w:t>要求</w:t>
            </w:r>
          </w:p>
        </w:tc>
      </w:tr>
      <w:tr w14:paraId="476B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5A4B98FC">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w:t>
            </w:r>
          </w:p>
        </w:tc>
        <w:tc>
          <w:tcPr>
            <w:tcW w:w="1557" w:type="dxa"/>
            <w:noWrap w:val="0"/>
            <w:vAlign w:val="top"/>
          </w:tcPr>
          <w:p w14:paraId="48590FB0">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石英砂</w:t>
            </w:r>
          </w:p>
        </w:tc>
        <w:tc>
          <w:tcPr>
            <w:tcW w:w="940" w:type="dxa"/>
            <w:noWrap w:val="0"/>
            <w:vAlign w:val="top"/>
          </w:tcPr>
          <w:p w14:paraId="7651BD4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公斤</w:t>
            </w:r>
          </w:p>
        </w:tc>
        <w:tc>
          <w:tcPr>
            <w:tcW w:w="778" w:type="dxa"/>
            <w:noWrap w:val="0"/>
            <w:vAlign w:val="top"/>
          </w:tcPr>
          <w:p w14:paraId="289945C5">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450</w:t>
            </w:r>
          </w:p>
        </w:tc>
        <w:tc>
          <w:tcPr>
            <w:tcW w:w="3464" w:type="dxa"/>
            <w:noWrap w:val="0"/>
            <w:vAlign w:val="top"/>
          </w:tcPr>
          <w:p w14:paraId="6407107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4-20目</w:t>
            </w:r>
          </w:p>
        </w:tc>
      </w:tr>
      <w:tr w14:paraId="2DC0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28BCBE5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w:t>
            </w:r>
          </w:p>
        </w:tc>
        <w:tc>
          <w:tcPr>
            <w:tcW w:w="1557" w:type="dxa"/>
            <w:noWrap w:val="0"/>
            <w:vAlign w:val="top"/>
          </w:tcPr>
          <w:p w14:paraId="62039E9E">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活性炭</w:t>
            </w:r>
          </w:p>
        </w:tc>
        <w:tc>
          <w:tcPr>
            <w:tcW w:w="940" w:type="dxa"/>
            <w:noWrap w:val="0"/>
            <w:vAlign w:val="top"/>
          </w:tcPr>
          <w:p w14:paraId="1B2AF987">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公斤</w:t>
            </w:r>
          </w:p>
        </w:tc>
        <w:tc>
          <w:tcPr>
            <w:tcW w:w="778" w:type="dxa"/>
            <w:noWrap w:val="0"/>
            <w:vAlign w:val="top"/>
          </w:tcPr>
          <w:p w14:paraId="0CC67355">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200</w:t>
            </w:r>
          </w:p>
        </w:tc>
        <w:tc>
          <w:tcPr>
            <w:tcW w:w="3464" w:type="dxa"/>
            <w:noWrap w:val="0"/>
            <w:vAlign w:val="top"/>
          </w:tcPr>
          <w:p w14:paraId="0EE7EC8B">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碘值＞1000</w:t>
            </w:r>
          </w:p>
        </w:tc>
      </w:tr>
      <w:tr w14:paraId="0C1C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noWrap w:val="0"/>
            <w:vAlign w:val="top"/>
          </w:tcPr>
          <w:p w14:paraId="28CC319F">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w:t>
            </w:r>
          </w:p>
        </w:tc>
        <w:tc>
          <w:tcPr>
            <w:tcW w:w="1557" w:type="dxa"/>
            <w:noWrap w:val="0"/>
            <w:vAlign w:val="top"/>
          </w:tcPr>
          <w:p w14:paraId="6C1F4A16">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软化树脂</w:t>
            </w:r>
          </w:p>
        </w:tc>
        <w:tc>
          <w:tcPr>
            <w:tcW w:w="940" w:type="dxa"/>
            <w:noWrap w:val="0"/>
            <w:vAlign w:val="top"/>
          </w:tcPr>
          <w:p w14:paraId="64ECDA4F">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升</w:t>
            </w:r>
          </w:p>
        </w:tc>
        <w:tc>
          <w:tcPr>
            <w:tcW w:w="778" w:type="dxa"/>
            <w:noWrap w:val="0"/>
            <w:vAlign w:val="top"/>
          </w:tcPr>
          <w:p w14:paraId="71DDBC49">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260</w:t>
            </w:r>
          </w:p>
        </w:tc>
        <w:tc>
          <w:tcPr>
            <w:tcW w:w="3464" w:type="dxa"/>
            <w:noWrap w:val="0"/>
            <w:vAlign w:val="top"/>
          </w:tcPr>
          <w:p w14:paraId="10DEF7F0">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001*7</w:t>
            </w:r>
          </w:p>
        </w:tc>
      </w:tr>
      <w:tr w14:paraId="546E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26B3015E">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4</w:t>
            </w:r>
          </w:p>
        </w:tc>
        <w:tc>
          <w:tcPr>
            <w:tcW w:w="1557" w:type="dxa"/>
            <w:noWrap w:val="0"/>
            <w:vAlign w:val="top"/>
          </w:tcPr>
          <w:p w14:paraId="6BC32A7B">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锰砂</w:t>
            </w:r>
          </w:p>
        </w:tc>
        <w:tc>
          <w:tcPr>
            <w:tcW w:w="940" w:type="dxa"/>
            <w:noWrap w:val="0"/>
            <w:vAlign w:val="top"/>
          </w:tcPr>
          <w:p w14:paraId="4695727C">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公斤</w:t>
            </w:r>
          </w:p>
        </w:tc>
        <w:tc>
          <w:tcPr>
            <w:tcW w:w="778" w:type="dxa"/>
            <w:noWrap w:val="0"/>
            <w:vAlign w:val="top"/>
          </w:tcPr>
          <w:p w14:paraId="73B1EF3A">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100</w:t>
            </w:r>
          </w:p>
        </w:tc>
        <w:tc>
          <w:tcPr>
            <w:tcW w:w="3464" w:type="dxa"/>
            <w:noWrap w:val="0"/>
            <w:vAlign w:val="top"/>
          </w:tcPr>
          <w:p w14:paraId="75D5E4B8">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eastAsia="微软雅黑" w:cs="微软雅黑"/>
                <w:sz w:val="24"/>
                <w:szCs w:val="24"/>
                <w:vertAlign w:val="baseline"/>
                <w:lang w:val="en-US" w:eastAsia="zh-CN"/>
              </w:rPr>
            </w:pPr>
          </w:p>
        </w:tc>
      </w:tr>
      <w:tr w14:paraId="1C61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0328507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5</w:t>
            </w:r>
          </w:p>
        </w:tc>
        <w:tc>
          <w:tcPr>
            <w:tcW w:w="1557" w:type="dxa"/>
            <w:noWrap w:val="0"/>
            <w:vAlign w:val="top"/>
          </w:tcPr>
          <w:p w14:paraId="3930C6A8">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反渗透膜</w:t>
            </w:r>
          </w:p>
        </w:tc>
        <w:tc>
          <w:tcPr>
            <w:tcW w:w="940" w:type="dxa"/>
            <w:noWrap w:val="0"/>
            <w:vAlign w:val="top"/>
          </w:tcPr>
          <w:p w14:paraId="437CCA99">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只</w:t>
            </w:r>
          </w:p>
        </w:tc>
        <w:tc>
          <w:tcPr>
            <w:tcW w:w="778" w:type="dxa"/>
            <w:noWrap w:val="0"/>
            <w:vAlign w:val="top"/>
          </w:tcPr>
          <w:p w14:paraId="57E56664">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7</w:t>
            </w:r>
          </w:p>
        </w:tc>
        <w:tc>
          <w:tcPr>
            <w:tcW w:w="3464" w:type="dxa"/>
            <w:noWrap w:val="0"/>
            <w:vAlign w:val="top"/>
          </w:tcPr>
          <w:p w14:paraId="3D1F5DDB">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eastAsia="微软雅黑" w:cs="微软雅黑"/>
                <w:color w:val="FF0000"/>
                <w:sz w:val="24"/>
                <w:szCs w:val="24"/>
                <w:vertAlign w:val="baseline"/>
                <w:lang w:val="en-US" w:eastAsia="zh-CN"/>
              </w:rPr>
            </w:pPr>
            <w:r>
              <w:rPr>
                <w:rFonts w:hint="eastAsia" w:ascii="微软雅黑" w:hAnsi="微软雅黑" w:cs="微软雅黑"/>
                <w:color w:val="auto"/>
                <w:sz w:val="24"/>
                <w:szCs w:val="24"/>
                <w:vertAlign w:val="baseline"/>
                <w:lang w:val="en-US" w:eastAsia="zh-CN"/>
              </w:rPr>
              <w:t>进口膜（提供报关单）</w:t>
            </w:r>
          </w:p>
        </w:tc>
      </w:tr>
      <w:tr w14:paraId="2449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6E262106">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6</w:t>
            </w:r>
          </w:p>
        </w:tc>
        <w:tc>
          <w:tcPr>
            <w:tcW w:w="1557" w:type="dxa"/>
            <w:noWrap w:val="0"/>
            <w:vAlign w:val="top"/>
          </w:tcPr>
          <w:p w14:paraId="77BD673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精密滤芯</w:t>
            </w:r>
          </w:p>
        </w:tc>
        <w:tc>
          <w:tcPr>
            <w:tcW w:w="940" w:type="dxa"/>
            <w:noWrap w:val="0"/>
            <w:vAlign w:val="top"/>
          </w:tcPr>
          <w:p w14:paraId="4EF4A6AC">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支</w:t>
            </w:r>
          </w:p>
        </w:tc>
        <w:tc>
          <w:tcPr>
            <w:tcW w:w="778" w:type="dxa"/>
            <w:noWrap w:val="0"/>
            <w:vAlign w:val="top"/>
          </w:tcPr>
          <w:p w14:paraId="3EE7279F">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10</w:t>
            </w:r>
          </w:p>
        </w:tc>
        <w:tc>
          <w:tcPr>
            <w:tcW w:w="3464" w:type="dxa"/>
            <w:noWrap w:val="0"/>
            <w:vAlign w:val="top"/>
          </w:tcPr>
          <w:p w14:paraId="32FAF103">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cs="微软雅黑"/>
                <w:color w:val="auto"/>
                <w:sz w:val="24"/>
                <w:szCs w:val="24"/>
                <w:vertAlign w:val="baseline"/>
                <w:lang w:val="en-US" w:eastAsia="zh-CN"/>
              </w:rPr>
            </w:pPr>
            <w:r>
              <w:rPr>
                <w:rFonts w:hint="eastAsia" w:ascii="微软雅黑" w:hAnsi="微软雅黑" w:cs="微软雅黑"/>
                <w:bCs/>
                <w:color w:val="auto"/>
                <w:sz w:val="28"/>
                <w:szCs w:val="28"/>
                <w:lang w:val="en-US" w:eastAsia="zh-CN"/>
              </w:rPr>
              <w:t>10μm40寸（带骨架）</w:t>
            </w:r>
          </w:p>
        </w:tc>
      </w:tr>
      <w:tr w14:paraId="0E05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noWrap w:val="0"/>
            <w:vAlign w:val="top"/>
          </w:tcPr>
          <w:p w14:paraId="008C614D">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7</w:t>
            </w:r>
          </w:p>
        </w:tc>
        <w:tc>
          <w:tcPr>
            <w:tcW w:w="1557" w:type="dxa"/>
            <w:noWrap w:val="0"/>
            <w:vAlign w:val="top"/>
          </w:tcPr>
          <w:p w14:paraId="0BD31335">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精密滤芯</w:t>
            </w:r>
          </w:p>
        </w:tc>
        <w:tc>
          <w:tcPr>
            <w:tcW w:w="940" w:type="dxa"/>
            <w:noWrap w:val="0"/>
            <w:vAlign w:val="top"/>
          </w:tcPr>
          <w:p w14:paraId="7F0B3A32">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支</w:t>
            </w:r>
          </w:p>
        </w:tc>
        <w:tc>
          <w:tcPr>
            <w:tcW w:w="778" w:type="dxa"/>
            <w:noWrap w:val="0"/>
            <w:vAlign w:val="top"/>
          </w:tcPr>
          <w:p w14:paraId="1F010DAA">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default" w:ascii="微软雅黑" w:hAnsi="微软雅黑" w:cs="微软雅黑"/>
                <w:sz w:val="24"/>
                <w:szCs w:val="24"/>
                <w:vertAlign w:val="baseline"/>
                <w:lang w:val="en-US" w:eastAsia="zh-CN"/>
              </w:rPr>
            </w:pPr>
            <w:r>
              <w:rPr>
                <w:rFonts w:hint="eastAsia" w:ascii="微软雅黑" w:hAnsi="微软雅黑" w:cs="微软雅黑"/>
                <w:sz w:val="24"/>
                <w:szCs w:val="24"/>
                <w:vertAlign w:val="baseline"/>
                <w:lang w:val="en-US" w:eastAsia="zh-CN"/>
              </w:rPr>
              <w:t>10</w:t>
            </w:r>
          </w:p>
        </w:tc>
        <w:tc>
          <w:tcPr>
            <w:tcW w:w="3464" w:type="dxa"/>
            <w:noWrap w:val="0"/>
            <w:vAlign w:val="top"/>
          </w:tcPr>
          <w:p w14:paraId="599250B9">
            <w:pPr>
              <w:keepNext w:val="0"/>
              <w:keepLines w:val="0"/>
              <w:pageBreakBefore w:val="0"/>
              <w:widowControl/>
              <w:kinsoku/>
              <w:wordWrap w:val="0"/>
              <w:overflowPunct/>
              <w:topLinePunct/>
              <w:autoSpaceDE/>
              <w:autoSpaceDN/>
              <w:bidi w:val="0"/>
              <w:adjustRightInd w:val="0"/>
              <w:snapToGrid w:val="0"/>
              <w:spacing w:after="0" w:line="400" w:lineRule="exact"/>
              <w:jc w:val="center"/>
              <w:textAlignment w:val="auto"/>
              <w:rPr>
                <w:rFonts w:hint="eastAsia" w:ascii="微软雅黑" w:hAnsi="微软雅黑" w:cs="微软雅黑"/>
                <w:color w:val="auto"/>
                <w:sz w:val="24"/>
                <w:szCs w:val="24"/>
                <w:vertAlign w:val="baseline"/>
                <w:lang w:val="en-US" w:eastAsia="zh-CN"/>
              </w:rPr>
            </w:pPr>
            <w:r>
              <w:rPr>
                <w:rFonts w:hint="eastAsia" w:ascii="微软雅黑" w:hAnsi="微软雅黑" w:cs="微软雅黑"/>
                <w:bCs/>
                <w:color w:val="auto"/>
                <w:sz w:val="28"/>
                <w:szCs w:val="28"/>
                <w:lang w:val="en-US" w:eastAsia="zh-CN"/>
              </w:rPr>
              <w:t>5μm40寸（带骨架）</w:t>
            </w:r>
          </w:p>
        </w:tc>
      </w:tr>
    </w:tbl>
    <w:p w14:paraId="751A1E64">
      <w:pPr>
        <w:rPr>
          <w:rFonts w:hint="eastAsia" w:ascii="微软雅黑" w:hAnsi="微软雅黑" w:eastAsia="微软雅黑" w:cs="微软雅黑"/>
          <w:sz w:val="24"/>
          <w:szCs w:val="24"/>
          <w:lang w:eastAsia="zh-CN"/>
        </w:rPr>
      </w:pPr>
    </w:p>
    <w:p w14:paraId="0CE0FB7D">
      <w:pPr>
        <w:pStyle w:val="5"/>
        <w:bidi w:val="0"/>
        <w:rPr>
          <w:rFonts w:hint="eastAsia"/>
          <w:lang w:val="en-US" w:eastAsia="zh-CN"/>
        </w:rPr>
      </w:pPr>
      <w:r>
        <w:rPr>
          <w:rFonts w:hint="eastAsia" w:ascii="微软雅黑" w:hAnsi="微软雅黑" w:eastAsia="微软雅黑" w:cs="微软雅黑"/>
          <w:bCs/>
          <w:color w:val="auto"/>
          <w:sz w:val="28"/>
          <w:szCs w:val="28"/>
          <w:lang w:val="en-US" w:eastAsia="zh-CN"/>
        </w:rPr>
        <w:t>★</w:t>
      </w:r>
      <w:bookmarkStart w:id="2" w:name="_GoBack"/>
      <w:bookmarkEnd w:id="2"/>
      <w:r>
        <w:rPr>
          <w:rFonts w:hint="eastAsia"/>
          <w:lang w:val="en-US" w:eastAsia="zh-CN"/>
        </w:rPr>
        <w:t>技术服务要求</w:t>
      </w:r>
    </w:p>
    <w:p w14:paraId="0F017DCE">
      <w:pPr>
        <w:keepNext w:val="0"/>
        <w:keepLines w:val="0"/>
        <w:pageBreakBefore w:val="0"/>
        <w:widowControl w:val="0"/>
        <w:kinsoku/>
        <w:wordWrap w:val="0"/>
        <w:overflowPunct/>
        <w:topLinePunct/>
        <w:autoSpaceDE/>
        <w:autoSpaceDN/>
        <w:bidi w:val="0"/>
        <w:spacing w:after="0" w:line="360" w:lineRule="auto"/>
        <w:ind w:firstLine="560" w:firstLineChars="200"/>
        <w:jc w:val="both"/>
        <w:textAlignment w:val="auto"/>
        <w:rPr>
          <w:rFonts w:hint="eastAsia" w:ascii="微软雅黑" w:hAnsi="微软雅黑" w:eastAsia="微软雅黑" w:cs="微软雅黑"/>
          <w:bCs/>
          <w:color w:val="auto"/>
          <w:sz w:val="28"/>
          <w:szCs w:val="28"/>
          <w:lang w:eastAsia="zh-CN"/>
        </w:rPr>
      </w:pPr>
      <w:r>
        <w:rPr>
          <w:rFonts w:hint="eastAsia" w:ascii="微软雅黑" w:hAnsi="微软雅黑" w:eastAsia="微软雅黑" w:cs="微软雅黑"/>
          <w:sz w:val="28"/>
          <w:szCs w:val="28"/>
          <w:lang w:val="en-US" w:eastAsia="zh-CN"/>
        </w:rPr>
        <w:t>1、</w:t>
      </w:r>
      <w:r>
        <w:rPr>
          <w:rFonts w:hint="eastAsia" w:ascii="微软雅黑" w:hAnsi="微软雅黑" w:cs="微软雅黑"/>
          <w:sz w:val="28"/>
          <w:szCs w:val="28"/>
          <w:lang w:val="en-US" w:eastAsia="zh-CN"/>
        </w:rPr>
        <w:t>更换耗材后质保期2年；</w:t>
      </w:r>
    </w:p>
    <w:p w14:paraId="48A7CB82">
      <w:pPr>
        <w:keepNext w:val="0"/>
        <w:keepLines w:val="0"/>
        <w:pageBreakBefore w:val="0"/>
        <w:widowControl w:val="0"/>
        <w:kinsoku/>
        <w:wordWrap w:val="0"/>
        <w:overflowPunct/>
        <w:topLinePunct/>
        <w:autoSpaceDE/>
        <w:autoSpaceDN/>
        <w:bidi w:val="0"/>
        <w:adjustRightInd/>
        <w:snapToGrid/>
        <w:spacing w:after="0" w:line="360" w:lineRule="auto"/>
        <w:ind w:firstLine="560" w:firstLineChars="200"/>
        <w:jc w:val="both"/>
        <w:textAlignment w:val="auto"/>
        <w:rPr>
          <w:rFonts w:hint="eastAsia" w:ascii="微软雅黑" w:hAnsi="微软雅黑" w:cs="微软雅黑"/>
          <w:bCs/>
          <w:color w:val="auto"/>
          <w:sz w:val="28"/>
          <w:szCs w:val="28"/>
          <w:lang w:val="en-US" w:eastAsia="zh-CN"/>
        </w:rPr>
      </w:pPr>
      <w:r>
        <w:rPr>
          <w:rFonts w:hint="eastAsia" w:ascii="微软雅黑" w:hAnsi="微软雅黑" w:cs="微软雅黑"/>
          <w:bCs/>
          <w:color w:val="auto"/>
          <w:sz w:val="28"/>
          <w:szCs w:val="28"/>
          <w:lang w:val="en-US" w:eastAsia="zh-CN"/>
        </w:rPr>
        <w:t>2</w:t>
      </w:r>
      <w:r>
        <w:rPr>
          <w:rFonts w:hint="eastAsia" w:ascii="微软雅黑" w:hAnsi="微软雅黑" w:eastAsia="微软雅黑" w:cs="微软雅黑"/>
          <w:bCs/>
          <w:color w:val="auto"/>
          <w:sz w:val="28"/>
          <w:szCs w:val="28"/>
          <w:lang w:val="en-US" w:eastAsia="zh-CN"/>
        </w:rPr>
        <w:t>、</w:t>
      </w:r>
      <w:r>
        <w:rPr>
          <w:rFonts w:hint="eastAsia" w:ascii="微软雅黑" w:hAnsi="微软雅黑" w:cs="微软雅黑"/>
          <w:bCs/>
          <w:color w:val="auto"/>
          <w:sz w:val="28"/>
          <w:szCs w:val="28"/>
          <w:lang w:val="en-US" w:eastAsia="zh-CN"/>
        </w:rPr>
        <w:t>更换耗材后需提供</w:t>
      </w:r>
      <w:r>
        <w:rPr>
          <w:rFonts w:hint="eastAsia" w:ascii="微软雅黑" w:hAnsi="微软雅黑" w:eastAsia="微软雅黑" w:cs="微软雅黑"/>
          <w:bCs/>
          <w:color w:val="auto"/>
          <w:sz w:val="28"/>
          <w:szCs w:val="28"/>
          <w:lang w:val="en-US" w:eastAsia="zh-CN"/>
        </w:rPr>
        <w:t>水质检测</w:t>
      </w:r>
      <w:r>
        <w:rPr>
          <w:rFonts w:hint="eastAsia" w:ascii="微软雅黑" w:hAnsi="微软雅黑" w:cs="微软雅黑"/>
          <w:bCs/>
          <w:color w:val="auto"/>
          <w:sz w:val="28"/>
          <w:szCs w:val="28"/>
          <w:lang w:val="en-US" w:eastAsia="zh-CN"/>
        </w:rPr>
        <w:t>（含化学污染物），检测费用由供应商负责；</w:t>
      </w:r>
    </w:p>
    <w:p w14:paraId="129EA68F">
      <w:pPr>
        <w:keepNext w:val="0"/>
        <w:keepLines w:val="0"/>
        <w:pageBreakBefore w:val="0"/>
        <w:widowControl w:val="0"/>
        <w:kinsoku/>
        <w:wordWrap w:val="0"/>
        <w:overflowPunct/>
        <w:topLinePunct/>
        <w:autoSpaceDE/>
        <w:autoSpaceDN/>
        <w:bidi w:val="0"/>
        <w:adjustRightInd/>
        <w:snapToGrid/>
        <w:spacing w:after="0" w:line="360" w:lineRule="auto"/>
        <w:ind w:firstLine="560" w:firstLineChars="200"/>
        <w:jc w:val="both"/>
        <w:textAlignment w:val="auto"/>
        <w:rPr>
          <w:rFonts w:hint="default" w:ascii="微软雅黑" w:hAnsi="微软雅黑" w:cs="微软雅黑"/>
          <w:bCs/>
          <w:color w:val="auto"/>
          <w:sz w:val="28"/>
          <w:szCs w:val="28"/>
          <w:lang w:val="en-US" w:eastAsia="zh-CN"/>
        </w:rPr>
      </w:pPr>
      <w:r>
        <w:rPr>
          <w:rFonts w:hint="eastAsia" w:ascii="微软雅黑" w:hAnsi="微软雅黑" w:cs="微软雅黑"/>
          <w:bCs/>
          <w:color w:val="auto"/>
          <w:sz w:val="28"/>
          <w:szCs w:val="28"/>
          <w:lang w:val="en-US" w:eastAsia="zh-CN"/>
        </w:rPr>
        <w:t>3、更换耗材后提供一次消毒服务，消毒液由供应商提供，消毒服务包含透析机进水软管联机消毒并确保每台消毒液残留测试合格。</w:t>
      </w:r>
    </w:p>
    <w:p w14:paraId="3FEC565C"/>
    <w:sectPr>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TI5OTVmNTQyZWQyMjhiMDc2MWU0ZWY5MDNhNjEifQ=="/>
  </w:docVars>
  <w:rsids>
    <w:rsidRoot w:val="32693F61"/>
    <w:rsid w:val="00A12741"/>
    <w:rsid w:val="013E4434"/>
    <w:rsid w:val="03EA08A3"/>
    <w:rsid w:val="057A42B6"/>
    <w:rsid w:val="07E15B19"/>
    <w:rsid w:val="09023F99"/>
    <w:rsid w:val="097950F3"/>
    <w:rsid w:val="0A1E4E03"/>
    <w:rsid w:val="0C34090D"/>
    <w:rsid w:val="0C4F1BEB"/>
    <w:rsid w:val="0CF86057"/>
    <w:rsid w:val="0ED14B39"/>
    <w:rsid w:val="10393F2A"/>
    <w:rsid w:val="153674A4"/>
    <w:rsid w:val="176302F9"/>
    <w:rsid w:val="1B3E70B3"/>
    <w:rsid w:val="1BB9498B"/>
    <w:rsid w:val="1C44694B"/>
    <w:rsid w:val="1EF321A3"/>
    <w:rsid w:val="1F4B4494"/>
    <w:rsid w:val="21DE15EF"/>
    <w:rsid w:val="23BA1BE8"/>
    <w:rsid w:val="242E1C8E"/>
    <w:rsid w:val="25F34F3E"/>
    <w:rsid w:val="264F6618"/>
    <w:rsid w:val="26D46B1D"/>
    <w:rsid w:val="28A54C15"/>
    <w:rsid w:val="29A42A5E"/>
    <w:rsid w:val="2A1738F0"/>
    <w:rsid w:val="2A557F75"/>
    <w:rsid w:val="2D74105A"/>
    <w:rsid w:val="2DCF003E"/>
    <w:rsid w:val="30275F10"/>
    <w:rsid w:val="308C0468"/>
    <w:rsid w:val="31853836"/>
    <w:rsid w:val="32693F61"/>
    <w:rsid w:val="32A1209C"/>
    <w:rsid w:val="32EC3440"/>
    <w:rsid w:val="33154745"/>
    <w:rsid w:val="342442BE"/>
    <w:rsid w:val="348C0A37"/>
    <w:rsid w:val="375C0B95"/>
    <w:rsid w:val="38CA7D80"/>
    <w:rsid w:val="39A64349"/>
    <w:rsid w:val="3AA60379"/>
    <w:rsid w:val="3BCB62E9"/>
    <w:rsid w:val="3DA01EF8"/>
    <w:rsid w:val="40833636"/>
    <w:rsid w:val="42274495"/>
    <w:rsid w:val="42C57F36"/>
    <w:rsid w:val="431C1B20"/>
    <w:rsid w:val="43AA712C"/>
    <w:rsid w:val="46E666CD"/>
    <w:rsid w:val="47574ED5"/>
    <w:rsid w:val="47946129"/>
    <w:rsid w:val="487321E2"/>
    <w:rsid w:val="49F44C5D"/>
    <w:rsid w:val="4A0B2F2F"/>
    <w:rsid w:val="4A914BA1"/>
    <w:rsid w:val="4B842648"/>
    <w:rsid w:val="4DAD3AA0"/>
    <w:rsid w:val="4EA8070C"/>
    <w:rsid w:val="51BB7DD1"/>
    <w:rsid w:val="569C6DA8"/>
    <w:rsid w:val="56A417B8"/>
    <w:rsid w:val="56BD287A"/>
    <w:rsid w:val="5737262D"/>
    <w:rsid w:val="578F4217"/>
    <w:rsid w:val="59142C25"/>
    <w:rsid w:val="5A3115B5"/>
    <w:rsid w:val="5B923F69"/>
    <w:rsid w:val="5BCB77E7"/>
    <w:rsid w:val="600A2FD4"/>
    <w:rsid w:val="608368E3"/>
    <w:rsid w:val="60A056E7"/>
    <w:rsid w:val="6210426E"/>
    <w:rsid w:val="625E015C"/>
    <w:rsid w:val="634E4F86"/>
    <w:rsid w:val="63AE3C76"/>
    <w:rsid w:val="65956E9C"/>
    <w:rsid w:val="697866E2"/>
    <w:rsid w:val="6A18009C"/>
    <w:rsid w:val="6BB87D88"/>
    <w:rsid w:val="6D0019E7"/>
    <w:rsid w:val="6D885538"/>
    <w:rsid w:val="6E41799C"/>
    <w:rsid w:val="6E641B01"/>
    <w:rsid w:val="6FE23626"/>
    <w:rsid w:val="709C1EDC"/>
    <w:rsid w:val="72930471"/>
    <w:rsid w:val="767174B1"/>
    <w:rsid w:val="775841CD"/>
    <w:rsid w:val="77972362"/>
    <w:rsid w:val="79425135"/>
    <w:rsid w:val="7AF4198F"/>
    <w:rsid w:val="7D1868D9"/>
    <w:rsid w:val="7E02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8"/>
      <w:szCs w:val="22"/>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240" w:lineRule="auto"/>
      <w:jc w:val="left"/>
      <w:outlineLvl w:val="0"/>
    </w:pPr>
    <w:rPr>
      <w:rFonts w:eastAsia="黑体" w:cs="Times New Roman" w:asciiTheme="minorAscii" w:hAnsiTheme="minorAscii"/>
      <w:b/>
      <w:kern w:val="44"/>
      <w:sz w:val="44"/>
      <w:szCs w:val="21"/>
    </w:rPr>
  </w:style>
  <w:style w:type="paragraph" w:styleId="3">
    <w:name w:val="heading 2"/>
    <w:basedOn w:val="1"/>
    <w:next w:val="1"/>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黑体" w:cs="Times New Roman"/>
      <w:b/>
      <w:sz w:val="36"/>
      <w:szCs w:val="21"/>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黑体" w:cs="Times New Roman"/>
      <w:b/>
      <w:sz w:val="32"/>
      <w:szCs w:val="21"/>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Times New Roman"/>
      <w:b/>
      <w:sz w:val="30"/>
      <w:szCs w:val="21"/>
    </w:rPr>
  </w:style>
  <w:style w:type="character" w:default="1" w:styleId="11">
    <w:name w:val="Default Paragraph Font"/>
    <w:semiHidden/>
    <w:qFormat/>
    <w:uiPriority w:val="0"/>
    <w:rPr>
      <w:rFonts w:ascii="Calibri" w:hAnsi="Calibri" w:eastAsia="黑体"/>
      <w:sz w:val="28"/>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before="100" w:beforeAutospacing="1" w:after="120"/>
    </w:pPr>
  </w:style>
  <w:style w:type="paragraph" w:styleId="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2"/>
    <w:qFormat/>
    <w:uiPriority w:val="0"/>
    <w:rPr>
      <w:rFonts w:eastAsia="黑体" w:cs="Times New Roman" w:asciiTheme="minorAscii" w:hAnsiTheme="minorAscii"/>
      <w:b/>
      <w:kern w:val="44"/>
      <w:sz w:val="4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316</Characters>
  <Lines>0</Lines>
  <Paragraphs>0</Paragraphs>
  <TotalTime>47</TotalTime>
  <ScaleCrop>false</ScaleCrop>
  <LinksUpToDate>false</LinksUpToDate>
  <CharactersWithSpaces>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2025-06-13T01:11:00Z</dcterms:created>
  <dc:creator>水总</dc:creator>
  <cp:lastModifiedBy>解黎</cp:lastModifiedBy>
  <dcterms:modified xsi:type="dcterms:W3CDTF">2025-06-14T02:28:50Z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CDA81A66F42B4B7EB4EC86D4CCAC248D_13</vt:lpwstr>
  </property>
  <property fmtid="{D5CDD505-2E9C-101B-9397-08002B2CF9AE}" pid="4" name="KSOTemplateDocerSaveRecord">
    <vt:lpwstr>eyJoZGlkIjoiYzJiNjIxMDQ3OGYzYjBlMzIyOTZkZTkxZjhkODZmOWUiLCJ1c2VySWQiOiIxMDQwMjU5MjIwIn0=</vt:lpwstr>
  </property>
</Properties>
</file>