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pPr w:leftFromText="180" w:rightFromText="180" w:vertAnchor="page" w:horzAnchor="page" w:tblpX="1610" w:tblpY="2589"/>
        <w:tblOverlap w:val="never"/>
        <w:tblW w:w="542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8"/>
        <w:gridCol w:w="5456"/>
        <w:gridCol w:w="1092"/>
        <w:gridCol w:w="1522"/>
      </w:tblGrid>
      <w:tr w14:paraId="1D328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9" w:hRule="atLeast"/>
        </w:trPr>
        <w:tc>
          <w:tcPr>
            <w:tcW w:w="632" w:type="pct"/>
            <w:shd w:val="clear" w:color="auto" w:fill="D9D9D9"/>
            <w:vAlign w:val="center"/>
          </w:tcPr>
          <w:p w14:paraId="092AEAC8">
            <w:pPr>
              <w:wordWrap w:val="0"/>
              <w:spacing w:line="400" w:lineRule="exact"/>
              <w:jc w:val="center"/>
              <w:rPr>
                <w:rFonts w:ascii="仿宋" w:hAnsi="仿宋" w:eastAsia="仿宋" w:cs="宋体"/>
                <w:b/>
                <w:sz w:val="18"/>
                <w:szCs w:val="18"/>
              </w:rPr>
            </w:pPr>
            <w:r>
              <w:rPr>
                <w:rFonts w:hint="eastAsia" w:ascii="仿宋" w:hAnsi="仿宋" w:eastAsia="仿宋" w:cs="宋体"/>
                <w:b/>
                <w:sz w:val="18"/>
                <w:szCs w:val="18"/>
              </w:rPr>
              <w:t>序号</w:t>
            </w:r>
          </w:p>
        </w:tc>
        <w:tc>
          <w:tcPr>
            <w:tcW w:w="2952" w:type="pct"/>
            <w:shd w:val="clear" w:color="auto" w:fill="D9D9D9"/>
            <w:vAlign w:val="center"/>
          </w:tcPr>
          <w:p w14:paraId="548112C4">
            <w:pPr>
              <w:wordWrap w:val="0"/>
              <w:spacing w:line="400" w:lineRule="exact"/>
              <w:jc w:val="center"/>
              <w:rPr>
                <w:rFonts w:ascii="仿宋" w:hAnsi="仿宋" w:eastAsia="仿宋" w:cs="宋体"/>
                <w:b/>
                <w:sz w:val="18"/>
                <w:szCs w:val="18"/>
              </w:rPr>
            </w:pPr>
            <w:r>
              <w:rPr>
                <w:rFonts w:hint="eastAsia" w:ascii="仿宋" w:hAnsi="仿宋" w:eastAsia="仿宋" w:cs="宋体"/>
                <w:b/>
                <w:sz w:val="18"/>
                <w:szCs w:val="18"/>
              </w:rPr>
              <w:t>设备/产品名称</w:t>
            </w:r>
          </w:p>
        </w:tc>
        <w:tc>
          <w:tcPr>
            <w:tcW w:w="591" w:type="pct"/>
            <w:shd w:val="clear" w:color="auto" w:fill="D9D9D9"/>
            <w:vAlign w:val="center"/>
          </w:tcPr>
          <w:p w14:paraId="1CC345B7">
            <w:pPr>
              <w:wordWrap w:val="0"/>
              <w:spacing w:line="400" w:lineRule="exact"/>
              <w:jc w:val="center"/>
              <w:rPr>
                <w:rFonts w:ascii="仿宋" w:hAnsi="仿宋" w:eastAsia="仿宋" w:cs="宋体"/>
                <w:b/>
                <w:sz w:val="18"/>
                <w:szCs w:val="18"/>
              </w:rPr>
            </w:pPr>
            <w:r>
              <w:rPr>
                <w:rFonts w:hint="eastAsia" w:ascii="仿宋" w:hAnsi="仿宋" w:eastAsia="仿宋" w:cs="宋体"/>
                <w:b/>
                <w:sz w:val="18"/>
                <w:szCs w:val="18"/>
              </w:rPr>
              <w:t>数量</w:t>
            </w:r>
          </w:p>
        </w:tc>
        <w:tc>
          <w:tcPr>
            <w:tcW w:w="823" w:type="pct"/>
            <w:shd w:val="clear" w:color="auto" w:fill="D9D9D9"/>
            <w:vAlign w:val="center"/>
          </w:tcPr>
          <w:p w14:paraId="117EE328">
            <w:pPr>
              <w:wordWrap w:val="0"/>
              <w:spacing w:line="400" w:lineRule="exact"/>
              <w:jc w:val="center"/>
              <w:rPr>
                <w:rFonts w:ascii="仿宋" w:hAnsi="仿宋" w:eastAsia="仿宋" w:cs="宋体"/>
                <w:b/>
                <w:sz w:val="18"/>
                <w:szCs w:val="18"/>
              </w:rPr>
            </w:pPr>
            <w:r>
              <w:rPr>
                <w:rFonts w:hint="eastAsia" w:ascii="仿宋" w:hAnsi="仿宋" w:eastAsia="仿宋" w:cs="宋体"/>
                <w:b/>
                <w:sz w:val="18"/>
                <w:szCs w:val="18"/>
              </w:rPr>
              <w:t>单位</w:t>
            </w:r>
          </w:p>
        </w:tc>
      </w:tr>
      <w:tr w14:paraId="7916B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632" w:type="pct"/>
            <w:vAlign w:val="center"/>
          </w:tcPr>
          <w:p w14:paraId="623FC098">
            <w:pPr>
              <w:wordWrap w:val="0"/>
              <w:spacing w:line="400" w:lineRule="exact"/>
              <w:jc w:val="center"/>
              <w:rPr>
                <w:rFonts w:ascii="仿宋" w:hAnsi="仿宋" w:eastAsia="仿宋" w:cs="宋体"/>
                <w:sz w:val="18"/>
                <w:szCs w:val="18"/>
              </w:rPr>
            </w:pPr>
            <w:r>
              <w:rPr>
                <w:rFonts w:hint="eastAsia" w:ascii="仿宋" w:hAnsi="仿宋" w:eastAsia="仿宋" w:cs="宋体"/>
                <w:sz w:val="18"/>
                <w:szCs w:val="18"/>
              </w:rPr>
              <w:t>1</w:t>
            </w:r>
          </w:p>
        </w:tc>
        <w:tc>
          <w:tcPr>
            <w:tcW w:w="2952" w:type="pct"/>
            <w:vAlign w:val="center"/>
          </w:tcPr>
          <w:p w14:paraId="214FE19B">
            <w:pPr>
              <w:wordWrap w:val="0"/>
              <w:spacing w:line="400" w:lineRule="exact"/>
              <w:jc w:val="center"/>
              <w:rPr>
                <w:rFonts w:ascii="仿宋" w:hAnsi="仿宋" w:eastAsia="仿宋" w:cs="宋体"/>
                <w:sz w:val="18"/>
                <w:szCs w:val="18"/>
              </w:rPr>
            </w:pPr>
            <w:r>
              <w:rPr>
                <w:rFonts w:hint="eastAsia" w:ascii="仿宋" w:hAnsi="仿宋" w:eastAsia="仿宋" w:cs="宋体"/>
                <w:sz w:val="18"/>
                <w:szCs w:val="18"/>
              </w:rPr>
              <w:t>一站式床旁结算自助机</w:t>
            </w:r>
          </w:p>
        </w:tc>
        <w:tc>
          <w:tcPr>
            <w:tcW w:w="591" w:type="pct"/>
            <w:vAlign w:val="center"/>
          </w:tcPr>
          <w:p w14:paraId="12915968">
            <w:pPr>
              <w:wordWrap w:val="0"/>
              <w:spacing w:line="400" w:lineRule="exact"/>
              <w:jc w:val="center"/>
              <w:rPr>
                <w:rFonts w:ascii="仿宋" w:hAnsi="仿宋" w:eastAsia="仿宋" w:cs="宋体"/>
                <w:sz w:val="18"/>
                <w:szCs w:val="18"/>
              </w:rPr>
            </w:pPr>
            <w:r>
              <w:rPr>
                <w:rFonts w:hint="eastAsia" w:ascii="仿宋" w:hAnsi="仿宋" w:eastAsia="仿宋" w:cs="宋体"/>
                <w:sz w:val="18"/>
                <w:szCs w:val="18"/>
              </w:rPr>
              <w:t>2</w:t>
            </w:r>
          </w:p>
        </w:tc>
        <w:tc>
          <w:tcPr>
            <w:tcW w:w="823" w:type="pct"/>
            <w:vAlign w:val="center"/>
          </w:tcPr>
          <w:p w14:paraId="155C897D">
            <w:pPr>
              <w:wordWrap w:val="0"/>
              <w:spacing w:line="400" w:lineRule="exact"/>
              <w:jc w:val="center"/>
              <w:rPr>
                <w:rFonts w:ascii="仿宋" w:hAnsi="仿宋" w:eastAsia="仿宋" w:cs="宋体"/>
                <w:sz w:val="18"/>
                <w:szCs w:val="18"/>
              </w:rPr>
            </w:pPr>
            <w:r>
              <w:rPr>
                <w:rFonts w:hint="eastAsia" w:ascii="仿宋" w:hAnsi="仿宋" w:eastAsia="仿宋" w:cs="宋体"/>
                <w:sz w:val="18"/>
                <w:szCs w:val="18"/>
              </w:rPr>
              <w:t>台</w:t>
            </w:r>
          </w:p>
        </w:tc>
      </w:tr>
      <w:tr w14:paraId="1BCF8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632" w:type="pct"/>
            <w:vAlign w:val="center"/>
          </w:tcPr>
          <w:p w14:paraId="70F0D3C2">
            <w:pPr>
              <w:wordWrap w:val="0"/>
              <w:spacing w:line="400" w:lineRule="exact"/>
              <w:jc w:val="center"/>
              <w:rPr>
                <w:rFonts w:ascii="仿宋" w:hAnsi="仿宋" w:eastAsia="仿宋" w:cs="宋体"/>
                <w:sz w:val="18"/>
                <w:szCs w:val="18"/>
              </w:rPr>
            </w:pPr>
            <w:r>
              <w:rPr>
                <w:rFonts w:hint="eastAsia" w:ascii="仿宋" w:hAnsi="仿宋" w:eastAsia="仿宋" w:cs="宋体"/>
                <w:sz w:val="18"/>
                <w:szCs w:val="18"/>
              </w:rPr>
              <w:t>2</w:t>
            </w:r>
          </w:p>
        </w:tc>
        <w:tc>
          <w:tcPr>
            <w:tcW w:w="2952" w:type="pct"/>
            <w:vAlign w:val="center"/>
          </w:tcPr>
          <w:p w14:paraId="607A9FB1">
            <w:pPr>
              <w:wordWrap w:val="0"/>
              <w:spacing w:line="400" w:lineRule="exact"/>
              <w:jc w:val="center"/>
              <w:rPr>
                <w:rFonts w:ascii="仿宋" w:hAnsi="仿宋" w:eastAsia="仿宋" w:cs="宋体"/>
                <w:sz w:val="18"/>
                <w:szCs w:val="18"/>
              </w:rPr>
            </w:pPr>
            <w:r>
              <w:rPr>
                <w:rFonts w:hint="eastAsia" w:ascii="仿宋" w:hAnsi="仿宋" w:eastAsia="仿宋" w:cs="宋体"/>
                <w:sz w:val="18"/>
                <w:szCs w:val="18"/>
              </w:rPr>
              <w:t>第三方系统接口开发技术服务</w:t>
            </w:r>
          </w:p>
        </w:tc>
        <w:tc>
          <w:tcPr>
            <w:tcW w:w="591" w:type="pct"/>
            <w:vAlign w:val="center"/>
          </w:tcPr>
          <w:p w14:paraId="7320B807">
            <w:pPr>
              <w:wordWrap w:val="0"/>
              <w:spacing w:line="400" w:lineRule="exact"/>
              <w:jc w:val="center"/>
              <w:rPr>
                <w:rFonts w:ascii="仿宋" w:hAnsi="仿宋" w:eastAsia="仿宋" w:cs="宋体"/>
                <w:sz w:val="18"/>
                <w:szCs w:val="18"/>
              </w:rPr>
            </w:pPr>
            <w:r>
              <w:rPr>
                <w:rFonts w:hint="eastAsia" w:ascii="仿宋" w:hAnsi="仿宋" w:eastAsia="仿宋" w:cs="宋体"/>
                <w:sz w:val="18"/>
                <w:szCs w:val="18"/>
              </w:rPr>
              <w:t>1</w:t>
            </w:r>
          </w:p>
        </w:tc>
        <w:tc>
          <w:tcPr>
            <w:tcW w:w="823" w:type="pct"/>
            <w:vAlign w:val="center"/>
          </w:tcPr>
          <w:p w14:paraId="5DAA1F0C">
            <w:pPr>
              <w:wordWrap w:val="0"/>
              <w:spacing w:line="400" w:lineRule="exact"/>
              <w:jc w:val="center"/>
              <w:rPr>
                <w:rFonts w:ascii="仿宋" w:hAnsi="仿宋" w:eastAsia="仿宋" w:cs="宋体"/>
                <w:sz w:val="18"/>
                <w:szCs w:val="18"/>
              </w:rPr>
            </w:pPr>
            <w:r>
              <w:rPr>
                <w:rFonts w:hint="eastAsia" w:ascii="仿宋" w:hAnsi="仿宋" w:eastAsia="仿宋" w:cs="宋体"/>
                <w:sz w:val="18"/>
                <w:szCs w:val="18"/>
              </w:rPr>
              <w:t>套</w:t>
            </w:r>
          </w:p>
        </w:tc>
      </w:tr>
    </w:tbl>
    <w:p w14:paraId="4582FA95">
      <w:pPr>
        <w:pStyle w:val="2"/>
        <w:ind w:left="0" w:leftChars="0" w:firstLine="0" w:firstLineChars="0"/>
        <w:rPr>
          <w:rFonts w:hint="eastAsia"/>
          <w:lang w:val="en-US" w:eastAsia="zh-CN"/>
        </w:rPr>
      </w:pPr>
    </w:p>
    <w:p w14:paraId="2A45BD17">
      <w:pPr>
        <w:rPr>
          <w:rFonts w:hint="eastAsia"/>
          <w:sz w:val="28"/>
          <w:szCs w:val="32"/>
          <w:lang w:val="en-US" w:eastAsia="zh-CN"/>
        </w:rPr>
      </w:pPr>
      <w:r>
        <w:rPr>
          <w:rFonts w:hint="eastAsia"/>
          <w:sz w:val="28"/>
          <w:szCs w:val="32"/>
          <w:lang w:val="en-US" w:eastAsia="zh-CN"/>
        </w:rPr>
        <w:t>项目清单：</w:t>
      </w:r>
    </w:p>
    <w:p w14:paraId="60A01187">
      <w:pPr>
        <w:rPr>
          <w:rFonts w:hint="default"/>
          <w:sz w:val="28"/>
          <w:szCs w:val="32"/>
          <w:lang w:val="en-US" w:eastAsia="zh-CN"/>
        </w:rPr>
      </w:pPr>
      <w:r>
        <w:rPr>
          <w:rFonts w:hint="eastAsia"/>
          <w:sz w:val="28"/>
          <w:szCs w:val="32"/>
          <w:lang w:val="en-US" w:eastAsia="zh-CN"/>
        </w:rPr>
        <w:t>技术要求：</w:t>
      </w:r>
    </w:p>
    <w:p w14:paraId="16510823">
      <w:pPr>
        <w:spacing w:line="324" w:lineRule="auto"/>
        <w:rPr>
          <w:rFonts w:ascii="仿宋" w:hAnsi="仿宋" w:eastAsia="仿宋" w:cs="宋体"/>
          <w:b/>
          <w:sz w:val="24"/>
        </w:rPr>
      </w:pPr>
      <w:r>
        <w:rPr>
          <w:rFonts w:hint="eastAsia" w:ascii="仿宋" w:hAnsi="仿宋" w:eastAsia="仿宋" w:cs="宋体"/>
          <w:b/>
          <w:sz w:val="24"/>
        </w:rPr>
        <w:t>（一）一站式床旁结算自助机</w:t>
      </w:r>
    </w:p>
    <w:p w14:paraId="4EAF8978">
      <w:pPr>
        <w:spacing w:line="324" w:lineRule="auto"/>
        <w:ind w:firstLine="480" w:firstLineChars="200"/>
        <w:rPr>
          <w:rFonts w:ascii="仿宋" w:hAnsi="仿宋" w:eastAsia="仿宋" w:cs="仿宋"/>
          <w:sz w:val="24"/>
        </w:rPr>
      </w:pPr>
      <w:r>
        <w:rPr>
          <w:rFonts w:hint="eastAsia" w:ascii="仿宋" w:hAnsi="仿宋" w:eastAsia="仿宋" w:cs="仿宋"/>
          <w:sz w:val="24"/>
        </w:rPr>
        <w:t>1.工控主机：CPU主频≥3.3G Hz；内存≥16G；硬盘≥256G固态硬盘；串口：至少包含6个RS-232接口；USB接口≥12个；至少包含一个10M/100M/1000M自适应网卡。</w:t>
      </w:r>
    </w:p>
    <w:p w14:paraId="0EFBBAAE">
      <w:pPr>
        <w:spacing w:line="324" w:lineRule="auto"/>
        <w:ind w:firstLine="360" w:firstLineChars="200"/>
        <w:rPr>
          <w:rFonts w:ascii="仿宋" w:hAnsi="仿宋" w:eastAsia="仿宋" w:cs="仿宋"/>
          <w:sz w:val="24"/>
        </w:rPr>
      </w:pPr>
      <w:bookmarkStart w:id="0" w:name="OLE_LINK27"/>
      <w:r>
        <w:rPr>
          <w:rFonts w:hint="eastAsia" w:ascii="仿宋" w:hAnsi="仿宋" w:eastAsia="仿宋" w:cs="仿宋"/>
          <w:sz w:val="18"/>
          <w:szCs w:val="18"/>
        </w:rPr>
        <w:t>▲</w:t>
      </w:r>
      <w:bookmarkEnd w:id="0"/>
      <w:r>
        <w:rPr>
          <w:rFonts w:hint="eastAsia" w:ascii="仿宋" w:hAnsi="仿宋" w:eastAsia="仿宋" w:cs="仿宋"/>
          <w:sz w:val="24"/>
        </w:rPr>
        <w:t>2.</w:t>
      </w:r>
      <w:bookmarkStart w:id="1" w:name="OLE_LINK129"/>
      <w:bookmarkStart w:id="2" w:name="OLE_LINK130"/>
      <w:r>
        <w:rPr>
          <w:rFonts w:ascii="仿宋" w:hAnsi="仿宋" w:eastAsia="仿宋" w:cs="仿宋"/>
          <w:sz w:val="24"/>
        </w:rPr>
        <w:t>支持双屏显示</w:t>
      </w:r>
      <w:r>
        <w:rPr>
          <w:rFonts w:hint="eastAsia" w:ascii="仿宋" w:hAnsi="仿宋" w:eastAsia="仿宋" w:cs="仿宋"/>
          <w:sz w:val="24"/>
        </w:rPr>
        <w:t>，宣教屏支持播放动态视频等宣教内容。显示屏1：（操作/提示屏）触摸屏≥31.5英寸电容触摸屏，分辨率≥1920*1080，屏幕亮度≥300CD/M2；显示屏2：（宣教屏）≥21.5英寸，分辨率≥1920*1080；支持宣教图文播放，包括视频，图片，PPT。</w:t>
      </w:r>
    </w:p>
    <w:bookmarkEnd w:id="1"/>
    <w:bookmarkEnd w:id="2"/>
    <w:p w14:paraId="3A21118A">
      <w:pPr>
        <w:spacing w:line="324" w:lineRule="auto"/>
        <w:ind w:firstLine="480" w:firstLineChars="200"/>
        <w:rPr>
          <w:rFonts w:ascii="仿宋" w:hAnsi="仿宋" w:eastAsia="仿宋" w:cs="仿宋"/>
          <w:sz w:val="24"/>
        </w:rPr>
      </w:pPr>
      <w:r>
        <w:rPr>
          <w:rFonts w:hint="eastAsia" w:ascii="仿宋" w:hAnsi="仿宋" w:eastAsia="仿宋" w:cs="仿宋"/>
          <w:sz w:val="24"/>
        </w:rPr>
        <w:t>3.硬件需配置：</w:t>
      </w:r>
      <w:bookmarkStart w:id="3" w:name="OLE_LINK48"/>
      <w:bookmarkStart w:id="4" w:name="OLE_LINK47"/>
      <w:r>
        <w:rPr>
          <w:rFonts w:hint="eastAsia" w:ascii="仿宋" w:hAnsi="仿宋" w:eastAsia="仿宋" w:cs="仿宋"/>
          <w:sz w:val="24"/>
        </w:rPr>
        <w:t>配</w:t>
      </w:r>
      <w:bookmarkEnd w:id="3"/>
      <w:bookmarkEnd w:id="4"/>
      <w:r>
        <w:rPr>
          <w:rFonts w:hint="eastAsia" w:ascii="仿宋" w:hAnsi="仿宋" w:eastAsia="仿宋" w:cs="仿宋"/>
          <w:sz w:val="24"/>
        </w:rPr>
        <w:t>置专用医保卡读卡器，支持医保卡读卡。一、二维码扫描模块：单次扫描速度：＜200mms/次；扫描方式：激光扫描；支持纸质和手机条码、二维码扫描识别。二代身份证阅读模块：符合居民身份证验证机具通用技术要求，符合ISO14443 TypeA&amp;B 的非接触CPU 卡；支持第二代居民身份证识别。凭条打印机：热敏行式打印；打印宽度：79.5mm（±0.5mm）；打印速度≥150 mm/s；支持切纸功能、黑标检测和缺纸检测。打印卷纸直径≥150 mm。金属加密键盘：EPP硬件加密键盘，支持ECB和CBC方式的DES、3DES算法及ANSI X 9.8PIN Block 格式，符合ANSI X9.24安全标准；密钥管理：可存储16组128位的密钥，只能写入不能读出，加密后如拆离键盘，自动启动密钥自毁功能；至少包含16键（10个数字键，6个功能键）。电动读卡模块：三合一电动读卡器；至少支持卡片类型：磁条卡、IC卡和RFID卡；支持光电卡位置检测；支持掉电吐卡功能；支持自动识别异物功能；支持电动保护闸门。定时开关：对自助终端进行定时开关机统一管理。监控模块：不低于320KPIXELS 有效像素；工作温度：至少介于﹣ 30℃~＋50℃。</w:t>
      </w:r>
    </w:p>
    <w:p w14:paraId="7E81E6B7">
      <w:pPr>
        <w:spacing w:line="324" w:lineRule="auto"/>
        <w:ind w:firstLine="480" w:firstLineChars="200"/>
        <w:rPr>
          <w:rFonts w:ascii="仿宋" w:hAnsi="仿宋" w:eastAsia="仿宋" w:cs="仿宋"/>
          <w:sz w:val="24"/>
        </w:rPr>
      </w:pPr>
      <w:r>
        <w:rPr>
          <w:rFonts w:hint="eastAsia" w:ascii="仿宋" w:hAnsi="仿宋" w:eastAsia="仿宋" w:cs="仿宋"/>
          <w:sz w:val="24"/>
        </w:rPr>
        <w:t>▲4.设备支持语音输入；支持语音识别。支持基于DeepSeek大模型，实现数字人医生通过自助机进行人机语音交互。支持语音识别和语意AI分析。</w:t>
      </w:r>
    </w:p>
    <w:p w14:paraId="6EF1B0D6">
      <w:pPr>
        <w:pStyle w:val="4"/>
        <w:spacing w:beforeAutospacing="0" w:afterAutospacing="0" w:line="360" w:lineRule="auto"/>
        <w:ind w:firstLine="480" w:firstLineChars="200"/>
        <w:rPr>
          <w:rFonts w:hint="eastAsia" w:ascii="仿宋" w:hAnsi="仿宋" w:eastAsia="仿宋" w:cs="仿宋"/>
          <w:color w:val="auto"/>
          <w:kern w:val="2"/>
        </w:rPr>
      </w:pPr>
      <w:r>
        <w:rPr>
          <w:rFonts w:hint="eastAsia" w:ascii="仿宋" w:hAnsi="仿宋" w:eastAsia="仿宋" w:cs="仿宋"/>
          <w:color w:val="auto"/>
          <w:kern w:val="2"/>
        </w:rPr>
        <w:t>▲5.支持AI大模型智慧导医：支持自助机融合人工智能人机语音交互，通过语音识别，大模型智能推荐挂号科室进行导诊。</w:t>
      </w:r>
    </w:p>
    <w:p w14:paraId="63A5DE47">
      <w:pPr>
        <w:pStyle w:val="4"/>
        <w:spacing w:beforeAutospacing="0" w:afterAutospacing="0" w:line="360" w:lineRule="auto"/>
        <w:ind w:firstLine="480" w:firstLineChars="200"/>
        <w:rPr>
          <w:rFonts w:ascii="仿宋" w:hAnsi="仿宋" w:eastAsia="仿宋" w:cs="仿宋"/>
          <w:color w:val="auto"/>
          <w:kern w:val="2"/>
        </w:rPr>
      </w:pPr>
      <w:r>
        <w:rPr>
          <w:rFonts w:hint="eastAsia" w:ascii="仿宋" w:hAnsi="仿宋" w:eastAsia="仿宋" w:cs="仿宋"/>
          <w:szCs w:val="24"/>
        </w:rPr>
        <w:t>★</w:t>
      </w:r>
      <w:r>
        <w:rPr>
          <w:rFonts w:hint="eastAsia" w:ascii="仿宋" w:hAnsi="仿宋" w:eastAsia="仿宋" w:cs="仿宋"/>
          <w:color w:val="auto"/>
          <w:kern w:val="2"/>
        </w:rPr>
        <w:t>6.上述AI大模型所需的硬件算力在质保期内由投标人提供，质保期内招标人不再产生其他费用。</w:t>
      </w:r>
    </w:p>
    <w:p w14:paraId="121402BF">
      <w:pPr>
        <w:spacing w:line="324" w:lineRule="auto"/>
        <w:ind w:firstLine="480" w:firstLineChars="200"/>
        <w:rPr>
          <w:rFonts w:ascii="仿宋" w:hAnsi="仿宋" w:eastAsia="仿宋" w:cs="仿宋"/>
          <w:sz w:val="24"/>
        </w:rPr>
      </w:pPr>
      <w:bookmarkStart w:id="5" w:name="OLE_LINK82"/>
      <w:bookmarkStart w:id="6" w:name="OLE_LINK81"/>
      <w:bookmarkStart w:id="7" w:name="OLE_LINK77"/>
      <w:bookmarkStart w:id="8" w:name="OLE_LINK73"/>
      <w:bookmarkStart w:id="9" w:name="OLE_LINK74"/>
      <w:bookmarkStart w:id="10" w:name="OLE_LINK76"/>
      <w:r>
        <w:rPr>
          <w:rFonts w:hint="eastAsia" w:ascii="仿宋" w:hAnsi="仿宋" w:eastAsia="仿宋" w:cs="仿宋"/>
          <w:sz w:val="24"/>
          <w:szCs w:val="24"/>
        </w:rPr>
        <w:t>★</w:t>
      </w:r>
      <w:bookmarkEnd w:id="5"/>
      <w:bookmarkEnd w:id="6"/>
      <w:r>
        <w:rPr>
          <w:rFonts w:hint="eastAsia" w:ascii="仿宋" w:hAnsi="仿宋" w:eastAsia="仿宋" w:cs="仿宋"/>
          <w:sz w:val="24"/>
        </w:rPr>
        <w:t>7.配置融合医保总局过检医保刷脸终端，支持刷脸识别，提供产品检测报告。</w:t>
      </w:r>
    </w:p>
    <w:p w14:paraId="7D354202">
      <w:pPr>
        <w:pStyle w:val="4"/>
        <w:spacing w:beforeAutospacing="0" w:afterAutospacing="0" w:line="360" w:lineRule="auto"/>
        <w:ind w:firstLine="480" w:firstLineChars="200"/>
        <w:rPr>
          <w:rFonts w:ascii="仿宋" w:hAnsi="仿宋" w:eastAsia="仿宋" w:cs="仿宋"/>
          <w:color w:val="auto"/>
          <w:kern w:val="2"/>
        </w:rPr>
      </w:pPr>
      <w:r>
        <w:rPr>
          <w:rFonts w:hint="eastAsia" w:ascii="仿宋" w:hAnsi="仿宋" w:eastAsia="仿宋" w:cs="仿宋"/>
          <w:color w:val="auto"/>
          <w:kern w:val="2"/>
        </w:rPr>
        <w:t>▲8.支持通过人脸识别完成床旁结算业务办理。</w:t>
      </w:r>
    </w:p>
    <w:p w14:paraId="3F12E5B9">
      <w:pPr>
        <w:spacing w:line="324" w:lineRule="auto"/>
        <w:ind w:firstLine="480" w:firstLineChars="200"/>
        <w:rPr>
          <w:rFonts w:ascii="仿宋" w:hAnsi="仿宋" w:eastAsia="仿宋" w:cs="仿宋"/>
          <w:sz w:val="24"/>
        </w:rPr>
      </w:pPr>
      <w:r>
        <w:rPr>
          <w:rFonts w:hint="eastAsia" w:ascii="仿宋" w:hAnsi="仿宋" w:eastAsia="仿宋" w:cs="仿宋"/>
          <w:sz w:val="24"/>
        </w:rPr>
        <w:t>▲9. 支持人证核验功能。（提供投标人人证核验软件著作权登记证书在中国版权保护中心著作权登记系统https://register.ccopyright.com.cn/query.html 版权查询结果截图，支持现场登录核验）</w:t>
      </w:r>
    </w:p>
    <w:bookmarkEnd w:id="7"/>
    <w:bookmarkEnd w:id="8"/>
    <w:bookmarkEnd w:id="9"/>
    <w:bookmarkEnd w:id="10"/>
    <w:p w14:paraId="584675D0">
      <w:pPr>
        <w:spacing w:line="324" w:lineRule="auto"/>
        <w:ind w:firstLine="480" w:firstLineChars="200"/>
        <w:rPr>
          <w:rFonts w:ascii="仿宋" w:hAnsi="仿宋" w:eastAsia="仿宋" w:cs="仿宋"/>
          <w:sz w:val="24"/>
        </w:rPr>
      </w:pPr>
      <w:bookmarkStart w:id="11" w:name="OLE_LINK68"/>
      <w:r>
        <w:rPr>
          <w:rFonts w:hint="eastAsia" w:ascii="仿宋" w:hAnsi="仿宋" w:eastAsia="仿宋" w:cs="仿宋"/>
          <w:sz w:val="24"/>
        </w:rPr>
        <w:t>★</w:t>
      </w:r>
      <w:bookmarkEnd w:id="11"/>
      <w:r>
        <w:rPr>
          <w:rFonts w:hint="eastAsia" w:ascii="仿宋" w:hAnsi="仿宋" w:eastAsia="仿宋" w:cs="仿宋"/>
          <w:sz w:val="24"/>
        </w:rPr>
        <w:t>10. 配置A4打印机：</w:t>
      </w:r>
      <w:bookmarkStart w:id="12" w:name="OLE_LINK136"/>
      <w:r>
        <w:rPr>
          <w:rFonts w:hint="eastAsia" w:ascii="仿宋" w:hAnsi="仿宋" w:eastAsia="仿宋" w:cs="仿宋"/>
          <w:sz w:val="24"/>
        </w:rPr>
        <w:t>支持黑白和彩色打印；</w:t>
      </w:r>
      <w:bookmarkEnd w:id="12"/>
      <w:r>
        <w:rPr>
          <w:rFonts w:hint="eastAsia" w:ascii="仿宋" w:hAnsi="仿宋" w:eastAsia="仿宋" w:cs="仿宋"/>
          <w:sz w:val="24"/>
        </w:rPr>
        <w:t>进纸盒容量：≥500页。</w:t>
      </w:r>
    </w:p>
    <w:p w14:paraId="6A99F877">
      <w:pPr>
        <w:spacing w:line="324" w:lineRule="auto"/>
        <w:ind w:firstLine="480" w:firstLineChars="200"/>
        <w:rPr>
          <w:rFonts w:ascii="仿宋" w:hAnsi="仿宋" w:eastAsia="仿宋" w:cs="仿宋"/>
          <w:sz w:val="24"/>
        </w:rPr>
      </w:pPr>
      <w:bookmarkStart w:id="13" w:name="OLE_LINK53"/>
      <w:r>
        <w:rPr>
          <w:rFonts w:hint="eastAsia" w:ascii="仿宋" w:hAnsi="仿宋" w:eastAsia="仿宋" w:cs="仿宋"/>
          <w:sz w:val="24"/>
        </w:rPr>
        <w:t>▲</w:t>
      </w:r>
      <w:bookmarkEnd w:id="13"/>
      <w:r>
        <w:rPr>
          <w:rFonts w:hint="eastAsia" w:ascii="仿宋" w:hAnsi="仿宋" w:eastAsia="仿宋" w:cs="仿宋"/>
          <w:sz w:val="24"/>
        </w:rPr>
        <w:t xml:space="preserve">11. </w:t>
      </w:r>
      <w:bookmarkStart w:id="14" w:name="OLE_LINK137"/>
      <w:bookmarkStart w:id="15" w:name="OLE_LINK133"/>
      <w:bookmarkStart w:id="16" w:name="OLE_LINK134"/>
      <w:r>
        <w:rPr>
          <w:rFonts w:hint="eastAsia" w:ascii="仿宋" w:hAnsi="仿宋" w:eastAsia="仿宋" w:cs="仿宋"/>
          <w:sz w:val="24"/>
        </w:rPr>
        <w:t>支持自助机彩色打印且支持自适应打印，自助机同时添加A4、A5纸张，系统根据医院A4、A5两种单据大小自适应彩色打印出A4、A5纸张</w:t>
      </w:r>
      <w:bookmarkEnd w:id="14"/>
      <w:r>
        <w:rPr>
          <w:rFonts w:hint="eastAsia" w:ascii="仿宋" w:hAnsi="仿宋" w:eastAsia="仿宋" w:cs="仿宋"/>
          <w:sz w:val="24"/>
        </w:rPr>
        <w:t>。（投标人提供产品案例操作视频，演示投标自助机支持彩色打印；支持同时加装A4、A5纸张；系统根据医院A4、A5两种单据模版大小自适应彩色打印出A4、A5纸张，视频必须采用真实系统操作录制，视频格式以常规的媒体播放格式放入U盘，</w:t>
      </w:r>
      <w:r>
        <w:rPr>
          <w:rFonts w:hint="eastAsia" w:ascii="仿宋" w:hAnsi="仿宋" w:eastAsia="仿宋" w:cs="仿宋"/>
          <w:kern w:val="0"/>
          <w:sz w:val="24"/>
        </w:rPr>
        <w:t>视频U盘随标书一起密封包装提交</w:t>
      </w:r>
      <w:r>
        <w:rPr>
          <w:rFonts w:hint="eastAsia" w:ascii="仿宋" w:hAnsi="仿宋" w:eastAsia="仿宋" w:cs="仿宋"/>
          <w:sz w:val="24"/>
        </w:rPr>
        <w:t>。）</w:t>
      </w:r>
    </w:p>
    <w:p w14:paraId="1160BBB4">
      <w:pPr>
        <w:spacing w:line="324" w:lineRule="auto"/>
        <w:ind w:firstLine="480" w:firstLineChars="200"/>
        <w:rPr>
          <w:rFonts w:hint="eastAsia" w:ascii="仿宋" w:hAnsi="仿宋" w:eastAsia="仿宋" w:cs="仿宋"/>
          <w:sz w:val="24"/>
        </w:rPr>
      </w:pPr>
      <w:r>
        <w:rPr>
          <w:rFonts w:hint="eastAsia" w:ascii="仿宋" w:hAnsi="仿宋" w:eastAsia="仿宋" w:cs="仿宋"/>
          <w:sz w:val="24"/>
        </w:rPr>
        <w:t>▲12.加载业务软件后，支持病区进行床旁结算业务办理。</w:t>
      </w:r>
      <w:bookmarkEnd w:id="15"/>
      <w:bookmarkEnd w:id="16"/>
    </w:p>
    <w:p w14:paraId="720FE83C">
      <w:pPr>
        <w:spacing w:line="324" w:lineRule="auto"/>
        <w:ind w:firstLine="480" w:firstLineChars="200"/>
        <w:rPr>
          <w:rFonts w:ascii="仿宋" w:hAnsi="仿宋" w:eastAsia="仿宋" w:cs="仿宋"/>
          <w:sz w:val="24"/>
        </w:rPr>
      </w:pPr>
      <w:r>
        <w:rPr>
          <w:rFonts w:hint="eastAsia" w:ascii="仿宋" w:hAnsi="仿宋" w:eastAsia="仿宋" w:cs="仿宋"/>
          <w:sz w:val="24"/>
        </w:rPr>
        <w:t>▲13.大堂式机柜，机柜柜体应具有抗菌处理（提供第三方检测机构出具的带CMA 和CNAS标识自助终端产品抗菌检测报告复印件并加盖投标人公章）；维护方式：前门日常维护、前后门维修；采用轨道拉伸设计，维护方便；内部布线</w:t>
      </w:r>
      <w:bookmarkStart w:id="20" w:name="_GoBack"/>
      <w:bookmarkEnd w:id="20"/>
      <w:r>
        <w:rPr>
          <w:rFonts w:hint="eastAsia" w:ascii="仿宋" w:hAnsi="仿宋" w:eastAsia="仿宋" w:cs="仿宋"/>
          <w:sz w:val="24"/>
        </w:rPr>
        <w:t>整齐规范；配备有独立的通风系统。</w:t>
      </w:r>
    </w:p>
    <w:p w14:paraId="79B421DB">
      <w:pPr>
        <w:pStyle w:val="7"/>
        <w:spacing w:line="360" w:lineRule="auto"/>
        <w:ind w:left="-60" w:firstLine="482"/>
        <w:rPr>
          <w:rFonts w:ascii="仿宋" w:hAnsi="仿宋" w:eastAsia="仿宋" w:cs="宋体"/>
          <w:b/>
          <w:sz w:val="24"/>
        </w:rPr>
      </w:pPr>
      <w:r>
        <w:rPr>
          <w:rFonts w:hint="eastAsia" w:ascii="仿宋" w:hAnsi="仿宋" w:eastAsia="仿宋" w:cs="宋体"/>
          <w:b/>
          <w:sz w:val="24"/>
        </w:rPr>
        <w:t>（二）HIS系统接口开发技术服务</w:t>
      </w:r>
    </w:p>
    <w:p w14:paraId="207DD2DC">
      <w:pPr>
        <w:pStyle w:val="4"/>
        <w:spacing w:beforeAutospacing="0" w:afterAutospacing="0" w:line="360" w:lineRule="auto"/>
        <w:ind w:firstLine="480" w:firstLineChars="200"/>
        <w:rPr>
          <w:rFonts w:ascii="仿宋" w:hAnsi="仿宋" w:eastAsia="仿宋" w:cs="宋体"/>
          <w:color w:val="auto"/>
        </w:rPr>
      </w:pPr>
      <w:r>
        <w:rPr>
          <w:rFonts w:hint="eastAsia" w:ascii="仿宋" w:hAnsi="仿宋" w:eastAsia="仿宋" w:cs="仿宋"/>
          <w:color w:val="auto"/>
          <w:kern w:val="2"/>
        </w:rPr>
        <w:t xml:space="preserve"> ▲1. 支持与HIS系统无缝对接，实现项目要求的入出院业务。接口对接应使系统运行操作流畅不卡顿。</w:t>
      </w:r>
    </w:p>
    <w:p w14:paraId="570EB3B2">
      <w:pPr>
        <w:bidi w:val="0"/>
        <w:ind w:firstLine="480" w:firstLineChars="200"/>
        <w:jc w:val="left"/>
        <w:rPr>
          <w:rFonts w:hint="default" w:ascii="仿宋" w:hAnsi="仿宋" w:eastAsia="仿宋" w:cs="仿宋"/>
          <w:color w:val="auto"/>
          <w:kern w:val="2"/>
          <w:sz w:val="24"/>
          <w:szCs w:val="22"/>
          <w:lang w:val="en-US" w:eastAsia="zh-CN" w:bidi="ar-SA"/>
        </w:rPr>
      </w:pPr>
      <w:bookmarkStart w:id="17" w:name="OLE_LINK85"/>
      <w:bookmarkStart w:id="18" w:name="OLE_LINK83"/>
      <w:bookmarkStart w:id="19" w:name="OLE_LINK84"/>
      <w:r>
        <w:rPr>
          <w:rFonts w:hint="eastAsia" w:ascii="仿宋" w:hAnsi="仿宋" w:eastAsia="仿宋" w:cs="仿宋"/>
          <w:color w:val="auto"/>
          <w:kern w:val="2"/>
          <w:sz w:val="24"/>
          <w:szCs w:val="22"/>
          <w:lang w:val="en-US" w:eastAsia="zh-CN" w:bidi="ar-SA"/>
        </w:rPr>
        <w:t>★</w:t>
      </w:r>
      <w:bookmarkEnd w:id="17"/>
      <w:bookmarkEnd w:id="18"/>
      <w:bookmarkEnd w:id="19"/>
      <w:r>
        <w:rPr>
          <w:rFonts w:hint="eastAsia" w:ascii="仿宋" w:hAnsi="仿宋" w:eastAsia="仿宋" w:cs="仿宋"/>
          <w:color w:val="auto"/>
          <w:kern w:val="2"/>
          <w:sz w:val="24"/>
          <w:szCs w:val="22"/>
          <w:lang w:val="en-US" w:eastAsia="zh-CN" w:bidi="ar-SA"/>
        </w:rPr>
        <w:t>2.按照项目功能需求所必须的软件接口开发；负责HIS/LIS/PACS系统、电子票据管理系统、CA系统等接口服务的部署和数据切换，系统对所产生的一切费用由投标方承担。如产品验收不能满足采购参数要求，或者供应商虚假响应采购参数要求导致产品不能达到采购参数要求的，招标人有权利退货并报财政局按相关规定处理，由此产生的损失和费用由投标人承担。</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CC256E"/>
    <w:rsid w:val="53CC25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First Indent 2"/>
    <w:basedOn w:val="3"/>
    <w:unhideWhenUsed/>
    <w:qFormat/>
    <w:uiPriority w:val="99"/>
    <w:pPr>
      <w:ind w:firstLine="420" w:firstLineChars="200"/>
    </w:pPr>
  </w:style>
  <w:style w:type="paragraph" w:styleId="3">
    <w:name w:val="Body Text Indent"/>
    <w:basedOn w:val="1"/>
    <w:semiHidden/>
    <w:unhideWhenUsed/>
    <w:qFormat/>
    <w:uiPriority w:val="99"/>
    <w:pPr>
      <w:spacing w:after="120"/>
      <w:ind w:left="420" w:leftChars="200"/>
    </w:pPr>
  </w:style>
  <w:style w:type="paragraph" w:styleId="4">
    <w:name w:val="Normal (Web)"/>
    <w:basedOn w:val="1"/>
    <w:qFormat/>
    <w:uiPriority w:val="0"/>
    <w:pPr>
      <w:widowControl/>
      <w:spacing w:before="100" w:beforeAutospacing="1" w:after="100" w:afterAutospacing="1"/>
      <w:jc w:val="left"/>
    </w:pPr>
    <w:rPr>
      <w:rFonts w:ascii="宋体" w:hAnsi="宋体"/>
      <w:color w:val="000000"/>
      <w:kern w:val="0"/>
      <w:sz w:val="24"/>
    </w:rPr>
  </w:style>
  <w:style w:type="paragraph" w:styleId="7">
    <w:name w:val="List Paragraph"/>
    <w:basedOn w:val="1"/>
    <w:qFormat/>
    <w:uiPriority w:val="0"/>
    <w:pPr>
      <w:ind w:firstLine="420" w:firstLineChars="200"/>
    </w:pPr>
    <w:rPr>
      <w:rFonts w:ascii="Calibri" w:hAnsi="Calibri"/>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1</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2025-12-04T07:54:00Z</dcterms:created>
  <dc:creator>解黎</dc:creator>
  <cp:lastModifiedBy>解黎</cp:lastModifiedBy>
  <dcterms:modified xsi:type="dcterms:W3CDTF">2025-12-04T08:03:32Z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7CEC4B18D9344C7E90E36482082FBCD1_11</vt:lpwstr>
  </property>
  <property fmtid="{D5CDD505-2E9C-101B-9397-08002B2CF9AE}" pid="4" name="KSOTemplateDocerSaveRecord">
    <vt:lpwstr>eyJoZGlkIjoiZTViY2MzOWNhNTBjMWJiMjQ4YTQyMTgxYzBkOTEwNWQiLCJ1c2VySWQiOiIxMDQwMjU5MjIwIn0=</vt:lpwstr>
  </property>
</Properties>
</file>