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DE5975"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技术参数</w:t>
      </w:r>
    </w:p>
    <w:p w14:paraId="6A1AB04C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1、系统支持院内服务器</w:t>
      </w:r>
    </w:p>
    <w:p w14:paraId="1CEA48CD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★2、系统支持覆盖全院，不限制终端，能在门诊，住院部床旁使用及体检中心使用。</w:t>
      </w:r>
    </w:p>
    <w:p w14:paraId="62F7973E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3、支持按照部门/科室、医生搜索、完成情况、医嘱时间进行搜索。</w:t>
      </w:r>
    </w:p>
    <w:p w14:paraId="4F721D42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4、具备多条件组合查询功能，支持按机构级别、测评时间、姓名、身份证号的信息等进行快速搜索与筛选。</w:t>
      </w:r>
    </w:p>
    <w:p w14:paraId="67D950DB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5、被试者支持名单导出。</w:t>
      </w:r>
    </w:p>
    <w:p w14:paraId="16FFC045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6、支持被试者增删改。</w:t>
      </w:r>
    </w:p>
    <w:p w14:paraId="6C7FE151">
      <w:pPr>
        <w:snapToGrid w:val="0"/>
        <w:spacing w:line="360" w:lineRule="auto"/>
        <w:ind w:left="210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7、选取被试者后支持显示所有做过的评估记录。</w:t>
      </w:r>
    </w:p>
    <w:p w14:paraId="00F3E0DB">
      <w:pPr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8、提供专业心理测评常用量表不少于300个，每个量表包含简介、功能说明及量规详解，支持量表语音导读，支持针对量表条目、因子、总体结果进行风险预警分级管理。具有：躯体症状自评量表（SSS）、中国大学生心理健康筛查问卷（CCSMHSS）、匹兹堡睡眠质量指数（PSQI）、90项症状自评量表、青少年生活事件量表、儿童抑郁障碍自评量表、艾森克个性问卷少年版、艾森克人格问卷、Conners父母用症状问卷、简明精神病量表、孤独症行为评定量表、父母教养方式评价量表、注意缺陷多动障碍评定量表、韦氏智力测验儿童版、韦氏智力测验成人版、儿童注意力测试、Yale-Brown强迫症状量表、明尼苏达多相个性测验量表等基本精神评估量表。（提供量表清单证明）</w:t>
      </w:r>
    </w:p>
    <w:p w14:paraId="2705F1ED">
      <w:pPr>
        <w:pStyle w:val="3"/>
        <w:snapToGrid w:val="0"/>
        <w:spacing w:line="360" w:lineRule="auto"/>
        <w:ind w:left="0"/>
        <w:rPr>
          <w:rFonts w:hint="eastAsia"/>
        </w:rPr>
      </w:pPr>
      <w:r>
        <w:rPr>
          <w:rFonts w:hint="eastAsia"/>
        </w:rPr>
        <w:t>▲9、认知评估。包含国际通用认知评估工具（如：MMSE、MOCA、画钟测验、STROOP色词测验等），以图形化方式动态评估个体认知功能。支持测评时患者端与医生端的智能连接和双向信息反馈，医生端实时监控患者测评过程和进行测评操作，患者端通过触屏绘画、键鼠操作、语言回答等形式完成答题。（提供系统截图证明）</w:t>
      </w:r>
    </w:p>
    <w:p w14:paraId="2A1EC5B3">
      <w:pPr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▲10、提供 MMPI399、MMPI566题版本外，基于项目反应理论与经典测量理论，融合深度学习特征提取技术，构建涵盖疑病、抑郁、偏执、轻躁狂、癔症等核心人格特质的MMPI精简版问卷，题目数＜200 题。（须提供此工具包的评估结果报告模板及信效度文档）。</w:t>
      </w:r>
    </w:p>
    <w:p w14:paraId="799336A2">
      <w:pPr>
        <w:pStyle w:val="3"/>
        <w:snapToGrid w:val="0"/>
        <w:spacing w:line="360" w:lineRule="auto"/>
        <w:ind w:left="0"/>
        <w:rPr>
          <w:rFonts w:hint="eastAsia"/>
          <w:spacing w:val="-4"/>
        </w:rPr>
      </w:pPr>
      <w:r>
        <w:rPr>
          <w:rFonts w:hint="eastAsia"/>
          <w:color w:val="000000"/>
        </w:rPr>
        <w:t>▲</w:t>
      </w:r>
      <w:r>
        <w:rPr>
          <w:rFonts w:hint="eastAsia"/>
        </w:rPr>
        <w:t>11、依据医保规范，建立多科室合理、有效的筛查机制，配置情绪快速筛查工具包，结合无线穿戴设备进行周期性评估和实时生理、行为指标监测，构建多层级风险评估和管理体系</w:t>
      </w:r>
      <w:r>
        <w:rPr>
          <w:rFonts w:hint="eastAsia"/>
          <w:spacing w:val="-4"/>
        </w:rPr>
        <w:t>。</w:t>
      </w:r>
      <w:r>
        <w:rPr>
          <w:rFonts w:hint="eastAsia"/>
        </w:rPr>
        <w:t>（提供系统截图证明）</w:t>
      </w:r>
    </w:p>
    <w:p w14:paraId="1FA3DBCD">
      <w:pPr>
        <w:snapToGrid w:val="0"/>
        <w:spacing w:line="360" w:lineRule="auto"/>
        <w:rPr>
          <w:rFonts w:hint="eastAsia" w:ascii="宋体" w:hAnsi="宋体" w:cs="宋体"/>
          <w:spacing w:val="-4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▲</w:t>
      </w:r>
      <w:r>
        <w:rPr>
          <w:rFonts w:hint="eastAsia" w:ascii="宋体" w:hAnsi="宋体" w:cs="宋体"/>
          <w:spacing w:val="-4"/>
          <w:sz w:val="24"/>
          <w:szCs w:val="24"/>
        </w:rPr>
        <w:t>12、设备屏幕尺寸≤2英寸，方便患者低负荷佩戴，屏幕类型:LCD彩色屏幕，分辨率≥240x240。（提供实物截图等相关证明资料）</w:t>
      </w:r>
    </w:p>
    <w:p w14:paraId="6C341BC4">
      <w:pPr>
        <w:snapToGrid w:val="0"/>
        <w:spacing w:line="360" w:lineRule="auto"/>
      </w:pPr>
      <w:r>
        <w:rPr>
          <w:rFonts w:hint="eastAsia" w:ascii="宋体" w:hAnsi="宋体" w:cs="宋体"/>
          <w:color w:val="000000"/>
          <w:sz w:val="24"/>
          <w:szCs w:val="24"/>
        </w:rPr>
        <w:t>▲</w:t>
      </w:r>
      <w:r>
        <w:rPr>
          <w:rFonts w:hint="eastAsia" w:ascii="宋体" w:hAnsi="宋体" w:cs="宋体"/>
          <w:spacing w:val="-4"/>
          <w:sz w:val="24"/>
          <w:szCs w:val="24"/>
        </w:rPr>
        <w:t>13、</w:t>
      </w: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手环可用充电宝供电</w:t>
      </w:r>
      <w:r>
        <w:rPr>
          <w:rFonts w:hint="eastAsia" w:ascii="宋体" w:hAnsi="宋体" w:cs="宋体"/>
          <w:spacing w:val="-4"/>
          <w:sz w:val="24"/>
          <w:szCs w:val="24"/>
        </w:rPr>
        <w:t>。（提供实物截图等相关证明资料）</w:t>
      </w:r>
    </w:p>
    <w:p w14:paraId="261A154E">
      <w:pPr>
        <w:snapToGrid w:val="0"/>
        <w:spacing w:line="360" w:lineRule="auto"/>
      </w:pPr>
      <w:r>
        <w:rPr>
          <w:rFonts w:hint="eastAsia" w:ascii="宋体" w:hAnsi="宋体" w:cs="宋体"/>
          <w:spacing w:val="-4"/>
          <w:sz w:val="24"/>
        </w:rPr>
        <w:t>★14、HIS系统接口费由供应商承担</w:t>
      </w:r>
    </w:p>
    <w:p w14:paraId="51B028C7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15、支持通过测评方案管理设定该方案包含的量表；支持通过测评方案管理设定该方案的预警规则。</w:t>
      </w:r>
    </w:p>
    <w:p w14:paraId="6E193328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cyan"/>
        </w:rPr>
      </w:pPr>
      <w:r>
        <w:rPr>
          <w:rFonts w:hint="eastAsia" w:ascii="宋体" w:hAnsi="宋体" w:cs="宋体"/>
          <w:sz w:val="24"/>
          <w:szCs w:val="24"/>
        </w:rPr>
        <w:t>16、支持断点续做。支持测验计时及时间限制提醒。支持量表选项、题目语音导读。</w:t>
      </w:r>
    </w:p>
    <w:p w14:paraId="57CC6FB4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cyan"/>
        </w:rPr>
      </w:pPr>
      <w:r>
        <w:rPr>
          <w:rFonts w:hint="eastAsia" w:ascii="宋体" w:hAnsi="宋体" w:cs="宋体"/>
          <w:sz w:val="24"/>
          <w:szCs w:val="24"/>
        </w:rPr>
        <w:t>17、支持多种测评方式，包括但不限于：管理端、用户端、二维码、测评链接、公众号。</w:t>
      </w:r>
    </w:p>
    <w:p w14:paraId="58E63510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cyan"/>
        </w:rPr>
      </w:pPr>
      <w:r>
        <w:rPr>
          <w:rFonts w:hint="eastAsia" w:ascii="宋体" w:hAnsi="宋体" w:cs="宋体"/>
          <w:sz w:val="24"/>
          <w:szCs w:val="24"/>
        </w:rPr>
        <w:t>18、支持测评完成及时出具报告及测评快照，支持批量导出测评报告与答题记录个体报告区分为医院版报告、社会化报告等不同版本。报告包含机构抬头、量表名称、测评者信息、总得分与结果、因子得分与结果、既往测评对比分析、减分率及对应指标（根据《精神障碍诊疗规范（2020版）》标准进行设计，协助判定疗效程度）、建议及审核人签名等信息，支持多次重测生成趋势变化图。</w:t>
      </w:r>
    </w:p>
    <w:p w14:paraId="128E9D81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19、支持查看报告、下载报告、打印报告功能。</w:t>
      </w:r>
    </w:p>
    <w:p w14:paraId="043D068E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20、支持报告时间修改、分值修改、报告修改等功能，保证报告的完整与规范。</w:t>
      </w:r>
    </w:p>
    <w:p w14:paraId="34311AE7">
      <w:pPr>
        <w:snapToGrid w:val="0"/>
        <w:spacing w:line="360" w:lineRule="auto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21、支持对接HIS系统自动获取医嘱。</w:t>
      </w:r>
    </w:p>
    <w:p w14:paraId="5AE1D4ED">
      <w:pPr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▲</w:t>
      </w:r>
      <w:r>
        <w:rPr>
          <w:rFonts w:hint="eastAsia" w:ascii="宋体" w:hAnsi="宋体" w:cs="宋体"/>
          <w:sz w:val="24"/>
          <w:szCs w:val="24"/>
        </w:rPr>
        <w:t>22、支持团体大规模心理普查，依据常见的学校、社区、企事业单位及其他场景分为对应模块，包含完成创建团体测评任务、测评人员管理、测评记录查询、个人及团队报告查看及打印等功能。系统以卡片列表形式展示不同类型单位信息。通过列表可直观查看当前用户服务的所有单位的基本信息；支持快速沟通针对某单位的团体测评任务，构建任务时，支持针对不同类型的单位，测评者填写的注册信息的部门、学院、年级、学号、社区、街道名称等信息支持自定义。</w:t>
      </w:r>
      <w:r>
        <w:rPr>
          <w:rFonts w:hint="eastAsia" w:cs="宋体"/>
          <w:sz w:val="24"/>
          <w:szCs w:val="24"/>
        </w:rPr>
        <w:t>（提供系统截图证明）</w:t>
      </w:r>
    </w:p>
    <w:p w14:paraId="24B26D1A">
      <w:pPr>
        <w:pStyle w:val="3"/>
        <w:snapToGrid w:val="0"/>
        <w:spacing w:line="360" w:lineRule="auto"/>
        <w:ind w:left="0"/>
        <w:rPr>
          <w:rFonts w:hint="eastAsia"/>
        </w:rPr>
      </w:pPr>
      <w:r>
        <w:rPr>
          <w:rFonts w:hint="eastAsia"/>
        </w:rPr>
        <w:t>23、区域中心化功能：支持多形式用户数据输入路径，开放与HIS及其他第三方系统平台、生理参数数据的端口对接功能，支持与医院集成平台进行无缝对接。</w:t>
      </w:r>
    </w:p>
    <w:p w14:paraId="6C105296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▲</w:t>
      </w:r>
      <w:r>
        <w:rPr>
          <w:rFonts w:hint="eastAsia" w:ascii="宋体" w:hAnsi="宋体" w:cs="宋体"/>
          <w:sz w:val="24"/>
        </w:rPr>
        <w:t>24、系统具有完善的 RBAC 权限认证，有操作、运行、</w:t>
      </w:r>
      <w:r>
        <w:rPr>
          <w:rFonts w:hint="eastAsia" w:ascii="宋体" w:hAnsi="宋体" w:cs="宋体"/>
          <w:sz w:val="24"/>
          <w:szCs w:val="24"/>
        </w:rPr>
        <w:t>异常等维度系统日志，可以支持多因子身份证认证，数据分发，统一鉴权，数据自动清洗存储。(须提供第三方权威机构出具的渗透测试报告)</w:t>
      </w:r>
    </w:p>
    <w:p w14:paraId="493D4405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25、系统建设符合国家数据信息安全相关法规的要求，需取得信息安全管理体系认证证书，符合“ISO/IEC 27001:2022 标准”建设规范。 (须提供信息安全管理体系认证证书)</w:t>
      </w:r>
    </w:p>
    <w:p w14:paraId="4E6753A6">
      <w:pPr>
        <w:pStyle w:val="12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26、后续无服务费，维护费。</w:t>
      </w:r>
    </w:p>
    <w:p w14:paraId="6D00ED5B">
      <w:pPr>
        <w:pStyle w:val="12"/>
        <w:spacing w:line="360" w:lineRule="auto"/>
        <w:ind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27、硬件要求：至少配备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套固定终端，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个移动终端，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个服务器，智能手环2个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智能手环配套充电宝2个。</w:t>
      </w:r>
    </w:p>
    <w:p w14:paraId="1A4413F9">
      <w:pPr>
        <w:pStyle w:val="12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</w:p>
    <w:p w14:paraId="579EA508">
      <w:pPr>
        <w:pStyle w:val="9"/>
        <w:snapToGrid w:val="0"/>
        <w:spacing w:line="360" w:lineRule="auto"/>
        <w:ind w:left="0" w:right="0"/>
        <w:jc w:val="both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86"/>
    <w:rsid w:val="000E0B86"/>
    <w:rsid w:val="002A651F"/>
    <w:rsid w:val="00D70D18"/>
    <w:rsid w:val="2E453DFE"/>
    <w:rsid w:val="3B9D5FD3"/>
    <w:rsid w:val="626947B2"/>
    <w:rsid w:val="7A3C121D"/>
    <w:rsid w:val="7EAF4E7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1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link w:val="10"/>
    <w:qFormat/>
    <w:uiPriority w:val="0"/>
    <w:pPr>
      <w:keepNext/>
      <w:keepLines/>
      <w:snapToGrid w:val="0"/>
      <w:spacing w:line="360" w:lineRule="auto"/>
      <w:outlineLvl w:val="1"/>
    </w:pPr>
    <w:rPr>
      <w:rFonts w:ascii="DejaVu Sans" w:hAnsi="DejaVu Sans" w:eastAsia="华文宋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1"/>
    </w:pPr>
    <w:rPr>
      <w:rFonts w:ascii="宋体" w:hAnsi="宋体" w:cs="宋体"/>
      <w:sz w:val="24"/>
      <w:szCs w:val="24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3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Quote"/>
    <w:basedOn w:val="1"/>
    <w:qFormat/>
    <w:uiPriority w:val="21"/>
    <w:pPr>
      <w:ind w:left="864" w:right="864"/>
      <w:jc w:val="center"/>
    </w:pPr>
    <w:rPr>
      <w:rFonts w:ascii="Calibri" w:hAnsi="Calibri"/>
      <w:i/>
      <w:color w:val="404040"/>
      <w:szCs w:val="21"/>
    </w:rPr>
  </w:style>
  <w:style w:type="character" w:customStyle="1" w:styleId="10">
    <w:name w:val="标题 2 字符"/>
    <w:link w:val="2"/>
    <w:qFormat/>
    <w:uiPriority w:val="0"/>
    <w:rPr>
      <w:rFonts w:ascii="DejaVu Sans" w:hAnsi="DejaVu Sans" w:eastAsia="华文宋体"/>
      <w:b/>
      <w:sz w:val="28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1772</Words>
  <Characters>1883</Characters>
  <Lines>36</Lines>
  <Paragraphs>28</Paragraphs>
  <TotalTime>10</TotalTime>
  <ScaleCrop>false</ScaleCrop>
  <LinksUpToDate>false</LinksUpToDate>
  <CharactersWithSpaces>1890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2025-12-02T05:21:00Z</dcterms:created>
  <dc:creator>官映萍</dc:creator>
  <cp:lastModifiedBy>解黎</cp:lastModifiedBy>
  <dcterms:modified xsi:type="dcterms:W3CDTF">2025-12-05T06:57:53Z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913FB59998444025BC05301C17829D7C_13</vt:lpwstr>
  </property>
  <property fmtid="{D5CDD505-2E9C-101B-9397-08002B2CF9AE}" pid="4" name="KSOTemplateDocerSaveRecord">
    <vt:lpwstr>eyJoZGlkIjoiMzI2ODUzYzBlYjFmN2U0OTYzMDRjYzA0MGJjMmYwOGQiLCJ1c2VySWQiOiI0MTI1NDYyMTMifQ==</vt:lpwstr>
  </property>
</Properties>
</file>